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jc w:val="center"/>
        <w:rPr>
          <w:rFonts w:ascii="方正小标宋简体" w:hAnsi="方正小标宋简体" w:eastAsia="方正小标宋简体" w:cs="方正小标宋简体"/>
          <w:bCs/>
          <w:sz w:val="44"/>
          <w:szCs w:val="44"/>
        </w:rPr>
      </w:pPr>
      <w:bookmarkStart w:id="0" w:name="_GoBack"/>
      <w:bookmarkEnd w:id="0"/>
      <w:r>
        <w:rPr>
          <w:rFonts w:hint="eastAsia" w:ascii="方正小标宋简体" w:hAnsi="方正小标宋简体" w:eastAsia="方正小标宋简体" w:cs="方正小标宋简体"/>
          <w:bCs/>
          <w:sz w:val="44"/>
          <w:szCs w:val="44"/>
        </w:rPr>
        <w:t>北京市科学技术协会“卓越工程师”</w:t>
      </w:r>
    </w:p>
    <w:p>
      <w:pPr>
        <w:spacing w:after="156" w:afterLines="50" w:line="360" w:lineRule="auto"/>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成长计划管理办法</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第一章 总  则</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 xml:space="preserve">第一条 </w:t>
      </w:r>
      <w:r>
        <w:rPr>
          <w:rFonts w:hint="eastAsia" w:ascii="CESI仿宋-GB2312" w:hAnsi="CESI仿宋-GB2312" w:eastAsia="CESI仿宋-GB2312" w:cs="CESI仿宋-GB2312"/>
          <w:sz w:val="32"/>
          <w:szCs w:val="32"/>
        </w:rPr>
        <w:t>为深入贯彻习近平新时代中国特色社会主义思想，落实中央和市委人才工作会议精神，加强北京卓越工程师人才队伍建设，为北京国际科技创新中心和高水平人才高地建设提供人才支持，根据北京市科学技术协会印发的《关于加强新时代科协系统人才工作的意见》规范北京市科学技术协会（以下简称北京市科协）“卓越工程师”成长计划项目的实施，制定本办法。</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 xml:space="preserve">第二条 </w:t>
      </w:r>
      <w:r>
        <w:rPr>
          <w:rFonts w:hint="eastAsia" w:ascii="CESI仿宋-GB2312" w:hAnsi="CESI仿宋-GB2312" w:eastAsia="CESI仿宋-GB2312" w:cs="CESI仿宋-GB2312"/>
          <w:sz w:val="32"/>
          <w:szCs w:val="32"/>
        </w:rPr>
        <w:t>“卓越工程师”成长计划由北京市科协有关部门负责项目的总体规划、统筹协调、组织实施、考核评估等工作。本项目旨在联合园区科协、产业技术联盟、学会、协会、区科协、企业科协等基层组织，探索创新卓越工程师培养机制，支持基层组织针对不同学科领域的工程科技人才特点，发现和培养一支爱党报国、敬业奉献、具有突出技术创新能力、善于解决复杂工程问题的工程师队伍。</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第二章 基本原则</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第三条</w:t>
      </w:r>
      <w:r>
        <w:rPr>
          <w:rFonts w:hint="eastAsia" w:ascii="CESI仿宋-GB2312" w:hAnsi="CESI仿宋-GB2312" w:eastAsia="CESI仿宋-GB2312" w:cs="CESI仿宋-GB2312"/>
          <w:sz w:val="32"/>
          <w:szCs w:val="32"/>
        </w:rPr>
        <w:t xml:space="preserve"> 坚持同行评议原则。本项目依托发挥北京市科协组织优势和跨界联合优势，组织相关产业领域同行专家遴选被培养人。</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第四条</w:t>
      </w:r>
      <w:r>
        <w:rPr>
          <w:rFonts w:hint="eastAsia" w:ascii="CESI仿宋-GB2312" w:hAnsi="CESI仿宋-GB2312" w:eastAsia="CESI仿宋-GB2312" w:cs="CESI仿宋-GB2312"/>
          <w:sz w:val="32"/>
          <w:szCs w:val="32"/>
        </w:rPr>
        <w:t xml:space="preserve"> 坚持需求导向原则。针对北京市高精尖产业、前沿技术领域与企业急需紧缺人才需求开展重点培养。</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第五条</w:t>
      </w:r>
      <w:r>
        <w:rPr>
          <w:rFonts w:hint="eastAsia" w:ascii="CESI仿宋-GB2312" w:hAnsi="CESI仿宋-GB2312" w:eastAsia="CESI仿宋-GB2312" w:cs="CESI仿宋-GB2312"/>
          <w:sz w:val="32"/>
          <w:szCs w:val="32"/>
        </w:rPr>
        <w:t xml:space="preserve"> 坚持协同育人原则。遵循人才成长规律，发挥产学研融合对工程创新人才培养的价值，以来自企业的工程人才为主体，引导企业与高校、科研院所、学会等开展人才共育，为被培养人提供多学科交叉、跨界融合、资源优势互补等特点的协同成长渠道和交流平台，为工程师专业能力和综合素养的提升创造条件。</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第六条</w:t>
      </w:r>
      <w:r>
        <w:rPr>
          <w:rFonts w:hint="eastAsia" w:ascii="CESI仿宋-GB2312" w:hAnsi="CESI仿宋-GB2312" w:eastAsia="CESI仿宋-GB2312" w:cs="CESI仿宋-GB2312"/>
          <w:sz w:val="32"/>
          <w:szCs w:val="32"/>
        </w:rPr>
        <w:t xml:space="preserve"> 坚持全过程管理原则。本项目建立从工作动员、人才遴选、培养支持、人才考核到整体评估的精细化顶层设计，有助于对人才培养计划实现全流程管理，促进形成良好的人才培养效果。</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第三章 申报条件</w:t>
      </w:r>
    </w:p>
    <w:p>
      <w:pPr>
        <w:spacing w:line="560" w:lineRule="exact"/>
        <w:ind w:firstLine="640" w:firstLineChars="200"/>
        <w:rPr>
          <w:rFonts w:ascii="CESI仿宋-GB2312" w:hAnsi="CESI仿宋-GB2312" w:eastAsia="CESI仿宋-GB2312" w:cs="CESI仿宋-GB2312"/>
          <w:b/>
          <w:sz w:val="32"/>
          <w:szCs w:val="32"/>
        </w:rPr>
      </w:pPr>
      <w:r>
        <w:rPr>
          <w:rFonts w:hint="eastAsia" w:ascii="CESI仿宋-GB2312" w:hAnsi="CESI仿宋-GB2312" w:eastAsia="CESI仿宋-GB2312" w:cs="CESI仿宋-GB2312"/>
          <w:b/>
          <w:sz w:val="32"/>
          <w:szCs w:val="32"/>
        </w:rPr>
        <w:t xml:space="preserve">第七条 </w:t>
      </w:r>
      <w:r>
        <w:rPr>
          <w:rFonts w:hint="eastAsia" w:ascii="CESI仿宋-GB2312" w:hAnsi="CESI仿宋-GB2312" w:eastAsia="CESI仿宋-GB2312" w:cs="CESI仿宋-GB2312"/>
          <w:sz w:val="32"/>
          <w:szCs w:val="32"/>
        </w:rPr>
        <w:t>本办法重点面向北京国际科技创新中心建设的关键领域和重点产业急需紧缺的卓越工程师人才。</w:t>
      </w:r>
    </w:p>
    <w:p>
      <w:pPr>
        <w:spacing w:line="560" w:lineRule="exact"/>
        <w:ind w:firstLine="640" w:firstLineChars="200"/>
        <w:rPr>
          <w:rFonts w:ascii="CESI仿宋-GB2312" w:hAnsi="CESI仿宋-GB2312" w:eastAsia="CESI仿宋-GB2312" w:cs="CESI仿宋-GB2312"/>
          <w:b/>
          <w:sz w:val="32"/>
          <w:szCs w:val="32"/>
        </w:rPr>
      </w:pPr>
      <w:r>
        <w:rPr>
          <w:rFonts w:hint="eastAsia" w:ascii="CESI仿宋-GB2312" w:hAnsi="CESI仿宋-GB2312" w:eastAsia="CESI仿宋-GB2312" w:cs="CESI仿宋-GB2312"/>
          <w:b/>
          <w:sz w:val="32"/>
          <w:szCs w:val="32"/>
        </w:rPr>
        <w:t>第八条</w:t>
      </w:r>
      <w:r>
        <w:rPr>
          <w:rFonts w:hint="eastAsia" w:ascii="CESI仿宋-GB2312" w:hAnsi="CESI仿宋-GB2312" w:eastAsia="CESI仿宋-GB2312" w:cs="CESI仿宋-GB2312"/>
          <w:sz w:val="32"/>
          <w:szCs w:val="32"/>
        </w:rPr>
        <w:t xml:space="preserve"> “卓越工程师”成长计划以用人单位为主体进行申报，申报人的立项单位和申报人应具备以下基本条件：</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（一）立项单位</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1.北京本地注册的独立企业法人单位；</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2.拥有核心技术和自主知识产权，具有优势特色产品或创新性商业模式，技术水平在行业中处于先进地位；</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3.拥有较为完善的单位内部人才培养体系，并与高校、科研院所建立了长期稳定的合作关系，能为申报人成长赋能提供良好条件；</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4.优先推荐获得北京市企业科技研究开发机构认定，或拥有相关领域市级及以上重点实验室、工程实验室（研究中心）、企业技术中心、示范工程（技术）中心等科研平台的企业参与申报；</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5.优先推荐“高新技术”企业、“专精特新”企业、国家技术创新示范企业、制造业单项冠军企业等参与申报。</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（二）申报人</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1.具有中国国籍，热爱祖国，心怀人民；</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2.恪守工程伦理和职业道德，履职专业，精益求精；</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3.年龄一般不超过45岁，特别优秀的申报请人年龄可放宽至50岁（1972年1月1日以后出生）；</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4.申报人在工程科研、应用一线从事研发、设计、生产、施工、管理、评估等工程技术工作8年及以上；</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5.申报人作为负责人主持过本领域省部级重大工程项目，或者作为核心骨干承担过国家级重大工程项目，是本单位核心工程师团队牵头人；</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6.申报人具有高级工程师及以上职称；或在本单位或本工作领域的关键技术突破、技术成果转化等方面做出了突出贡献的工程技术人员。</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第九条</w:t>
      </w:r>
      <w:r>
        <w:rPr>
          <w:rFonts w:hint="eastAsia" w:ascii="CESI仿宋-GB2312" w:hAnsi="CESI仿宋-GB2312" w:eastAsia="CESI仿宋-GB2312" w:cs="CESI仿宋-GB2312"/>
          <w:sz w:val="32"/>
          <w:szCs w:val="32"/>
        </w:rPr>
        <w:t xml:space="preserve"> “卓越工程师”成长计划每年面向北京重点产业领域定向选拔若干工程师人才。具体支持产业领域和名额在每年选拔前由北京市科协研究确定。</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第十条</w:t>
      </w:r>
      <w:r>
        <w:rPr>
          <w:rFonts w:hint="eastAsia" w:ascii="CESI仿宋-GB2312" w:hAnsi="CESI仿宋-GB2312" w:eastAsia="CESI仿宋-GB2312" w:cs="CESI仿宋-GB2312"/>
          <w:sz w:val="32"/>
          <w:szCs w:val="32"/>
        </w:rPr>
        <w:t xml:space="preserve"> 满足条件的立项单位仅限推荐一位申报人，另若推荐申报人为北京优秀青年工程师奖获奖者，可以获得优先推荐。</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第四章 申报程序</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第十一条</w:t>
      </w:r>
      <w:r>
        <w:rPr>
          <w:rFonts w:hint="eastAsia" w:ascii="CESI仿宋-GB2312" w:hAnsi="CESI仿宋-GB2312" w:eastAsia="CESI仿宋-GB2312" w:cs="CESI仿宋-GB2312"/>
          <w:sz w:val="32"/>
          <w:szCs w:val="32"/>
        </w:rPr>
        <w:t xml:space="preserve"> 本项目由园区科协、产业技术联盟、学会、协会、区科协等基层组织作为推荐单位推荐申报，不受理用人单位的单独申请，各推荐单位推荐名额以当年申报通知为准。</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第十二条</w:t>
      </w:r>
      <w:r>
        <w:rPr>
          <w:rFonts w:hint="eastAsia" w:ascii="CESI仿宋-GB2312" w:hAnsi="CESI仿宋-GB2312" w:eastAsia="CESI仿宋-GB2312" w:cs="CESI仿宋-GB2312"/>
          <w:sz w:val="32"/>
          <w:szCs w:val="32"/>
        </w:rPr>
        <w:t xml:space="preserve"> 推荐单位要做好本系统的申报宣传动员工作，鼓励符合申报条件的用人单位积极参与项目申报。推荐单位可根据本办法，制定本系统或本单位的实施细则。</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第十三条</w:t>
      </w:r>
      <w:r>
        <w:rPr>
          <w:rFonts w:hint="eastAsia" w:ascii="CESI仿宋-GB2312" w:hAnsi="CESI仿宋-GB2312" w:eastAsia="CESI仿宋-GB2312" w:cs="CESI仿宋-GB2312"/>
          <w:sz w:val="32"/>
          <w:szCs w:val="32"/>
        </w:rPr>
        <w:t xml:space="preserve"> 人才申报流程主要包括以下环节：</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（一）确定申报人选。符合申报条件的立项单位自主确定本单位申报人选，参与“卓越工程师”成长计划申报。</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（二）申报材料填写。按照当年申报通知要求，立项单位组织本单位人员以及申报人填写北京市科协“卓越工程师”成长计划相关申报材料（详见附件）。</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（三）提交推荐单位。确保各项材料符合填写规范要求，立项单位将申报材料提交至本单位所属推荐单位。</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（四）推荐单位初筛。推荐单位负责本系统申报资料汇总及初步筛选，按照当年推荐名额确定推荐人选，并填写推荐意见（详见附件）。</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（五）推荐材料提交。推荐单位对本系统推荐人选的申报材料审核无误后，提交至北京市科协。</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第十四条</w:t>
      </w:r>
      <w:r>
        <w:rPr>
          <w:rFonts w:hint="eastAsia" w:ascii="CESI仿宋-GB2312" w:hAnsi="CESI仿宋-GB2312" w:eastAsia="CESI仿宋-GB2312" w:cs="CESI仿宋-GB2312"/>
          <w:sz w:val="32"/>
          <w:szCs w:val="32"/>
        </w:rPr>
        <w:t xml:space="preserve"> 立项单位和申报人要对提交的申报材料内容真实性负责，也要确保相关内容不违反我国相关保密法规政策要求，不得含有涉密内容，否则取消当年申报资格。</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第十五条</w:t>
      </w:r>
      <w:r>
        <w:rPr>
          <w:rFonts w:hint="eastAsia" w:ascii="CESI仿宋-GB2312" w:hAnsi="CESI仿宋-GB2312" w:eastAsia="CESI仿宋-GB2312" w:cs="CESI仿宋-GB2312"/>
          <w:sz w:val="32"/>
          <w:szCs w:val="32"/>
        </w:rPr>
        <w:t xml:space="preserve"> 北京市科协组织工作人员对申报材料进行资格和内容审查，确保立项单位及申报人符合条件，材料填写规范，标准统一。</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第十六条</w:t>
      </w:r>
      <w:r>
        <w:rPr>
          <w:rFonts w:hint="eastAsia" w:ascii="CESI仿宋-GB2312" w:hAnsi="CESI仿宋-GB2312" w:eastAsia="CESI仿宋-GB2312" w:cs="CESI仿宋-GB2312"/>
          <w:sz w:val="32"/>
          <w:szCs w:val="32"/>
        </w:rPr>
        <w:t xml:space="preserve"> 北京市科协于每年在北京市科协官网上发布“卓越工程师”成长计划申报通知，申报周期一般为自通知发布之日起15天。</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第五章 人才评审</w:t>
      </w:r>
    </w:p>
    <w:p>
      <w:pPr>
        <w:spacing w:line="560" w:lineRule="atLeas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第十七条</w:t>
      </w:r>
      <w:r>
        <w:rPr>
          <w:rFonts w:hint="eastAsia" w:ascii="CESI仿宋-GB2312" w:hAnsi="CESI仿宋-GB2312" w:eastAsia="CESI仿宋-GB2312" w:cs="CESI仿宋-GB2312"/>
          <w:sz w:val="32"/>
          <w:szCs w:val="32"/>
        </w:rPr>
        <w:t xml:space="preserve"> “卓越工程师”成长计划人才评审将邀请行业专家组成专家组开展各项评审工作。</w:t>
      </w:r>
    </w:p>
    <w:p>
      <w:pPr>
        <w:spacing w:line="560" w:lineRule="atLeast"/>
        <w:ind w:firstLine="640" w:firstLineChars="200"/>
        <w:rPr>
          <w:rFonts w:ascii="CESI仿宋-GB2312" w:hAnsi="CESI仿宋-GB2312" w:eastAsia="CESI仿宋-GB2312" w:cs="CESI仿宋-GB2312"/>
          <w:b/>
          <w:sz w:val="32"/>
          <w:szCs w:val="32"/>
        </w:rPr>
      </w:pPr>
      <w:r>
        <w:rPr>
          <w:rFonts w:hint="eastAsia" w:ascii="CESI仿宋-GB2312" w:hAnsi="CESI仿宋-GB2312" w:eastAsia="CESI仿宋-GB2312" w:cs="CESI仿宋-GB2312"/>
          <w:b/>
          <w:sz w:val="32"/>
          <w:szCs w:val="32"/>
        </w:rPr>
        <w:t>第十八条</w:t>
      </w:r>
      <w:r>
        <w:rPr>
          <w:rFonts w:hint="eastAsia" w:ascii="CESI仿宋-GB2312" w:hAnsi="CESI仿宋-GB2312" w:eastAsia="CESI仿宋-GB2312" w:cs="CESI仿宋-GB2312"/>
          <w:sz w:val="32"/>
          <w:szCs w:val="32"/>
        </w:rPr>
        <w:t xml:space="preserve"> 网络评审重点考察立项单位的技术研发与经营实力、研发平台基础和人才培养体系，以及申报人的既往资质、工作经验和主要业绩；会议评审重点考察立项单位人才培养能力、赋能配套计划，以及申报人科研活力、创新能力和发展潜力。</w:t>
      </w:r>
    </w:p>
    <w:p>
      <w:pPr>
        <w:spacing w:line="560" w:lineRule="atLeast"/>
        <w:ind w:firstLine="640" w:firstLineChars="200"/>
        <w:rPr>
          <w:rFonts w:ascii="CESI仿宋-GB2312" w:hAnsi="CESI仿宋-GB2312" w:eastAsia="CESI仿宋-GB2312" w:cs="CESI仿宋-GB2312"/>
          <w:kern w:val="0"/>
          <w:sz w:val="32"/>
          <w:szCs w:val="32"/>
        </w:rPr>
      </w:pPr>
      <w:r>
        <w:rPr>
          <w:rFonts w:hint="eastAsia" w:ascii="CESI仿宋-GB2312" w:hAnsi="CESI仿宋-GB2312" w:eastAsia="CESI仿宋-GB2312" w:cs="CESI仿宋-GB2312"/>
          <w:b/>
          <w:sz w:val="32"/>
          <w:szCs w:val="32"/>
        </w:rPr>
        <w:t>第十九条</w:t>
      </w:r>
      <w:r>
        <w:rPr>
          <w:rFonts w:hint="eastAsia" w:ascii="CESI仿宋-GB2312" w:hAnsi="CESI仿宋-GB2312" w:eastAsia="CESI仿宋-GB2312" w:cs="CESI仿宋-GB2312"/>
          <w:sz w:val="32"/>
          <w:szCs w:val="32"/>
        </w:rPr>
        <w:t xml:space="preserve"> 对正式入选名单进行综合论证后，确定最终名单，并在北京市科协官网上进行公示，公示期为5个工作日。</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第六章 人才支持</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 xml:space="preserve">第二十条 </w:t>
      </w:r>
      <w:r>
        <w:rPr>
          <w:rFonts w:hint="eastAsia" w:ascii="CESI仿宋-GB2312" w:hAnsi="CESI仿宋-GB2312" w:eastAsia="CESI仿宋-GB2312" w:cs="CESI仿宋-GB2312"/>
          <w:sz w:val="32"/>
          <w:szCs w:val="32"/>
        </w:rPr>
        <w:t>对“卓越工程师”成长计划的入选者（以下简称入选者），正式入选后，由北京市科协给予一定资金支持，并根据任务完成绩效情况，给予持续关注和服务。</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第二十一条</w:t>
      </w:r>
      <w:r>
        <w:rPr>
          <w:rFonts w:hint="eastAsia" w:ascii="CESI仿宋-GB2312" w:hAnsi="CESI仿宋-GB2312" w:eastAsia="CESI仿宋-GB2312" w:cs="CESI仿宋-GB2312"/>
          <w:sz w:val="32"/>
          <w:szCs w:val="32"/>
        </w:rPr>
        <w:t xml:space="preserve"> 入选者立项单位要建立专门账户，确保资金专款专用，不得虚报、截留、挤占、挪用。</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第二十二条</w:t>
      </w:r>
      <w:r>
        <w:rPr>
          <w:rFonts w:hint="eastAsia" w:ascii="CESI仿宋-GB2312" w:hAnsi="CESI仿宋-GB2312" w:eastAsia="CESI仿宋-GB2312" w:cs="CESI仿宋-GB2312"/>
          <w:sz w:val="32"/>
          <w:szCs w:val="32"/>
        </w:rPr>
        <w:t xml:space="preserve"> 人才培养期内，立项单位应按照培养计划为入选者提供相应的配套资源、赋能项目支持；入选者应按照申报计划开展相关工作，确保按期完成计划目标。</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第二十三条</w:t>
      </w:r>
      <w:r>
        <w:rPr>
          <w:rFonts w:hint="eastAsia" w:ascii="CESI仿宋-GB2312" w:hAnsi="CESI仿宋-GB2312" w:eastAsia="CESI仿宋-GB2312" w:cs="CESI仿宋-GB2312"/>
          <w:sz w:val="32"/>
          <w:szCs w:val="32"/>
        </w:rPr>
        <w:t xml:space="preserve"> 立项单位应按照培养计划，积极联合高校科协、科研院所科协和学会等创新资源，通过建立“双导师制”、跨界合作机制等，在创新合作实践中实现对入选者的培养。</w:t>
      </w:r>
    </w:p>
    <w:p>
      <w:pPr>
        <w:spacing w:line="560" w:lineRule="exact"/>
        <w:ind w:firstLine="640" w:firstLineChars="200"/>
        <w:rPr>
          <w:rFonts w:ascii="CESI仿宋-GB2312" w:hAnsi="CESI仿宋-GB2312" w:eastAsia="CESI仿宋-GB2312" w:cs="CESI仿宋-GB2312"/>
          <w:bCs/>
          <w:sz w:val="32"/>
          <w:szCs w:val="32"/>
        </w:rPr>
      </w:pPr>
      <w:r>
        <w:rPr>
          <w:rFonts w:hint="eastAsia" w:ascii="CESI仿宋-GB2312" w:hAnsi="CESI仿宋-GB2312" w:eastAsia="CESI仿宋-GB2312" w:cs="CESI仿宋-GB2312"/>
          <w:b/>
          <w:sz w:val="32"/>
          <w:szCs w:val="32"/>
        </w:rPr>
        <w:t>第二十四条</w:t>
      </w:r>
      <w:r>
        <w:rPr>
          <w:rFonts w:hint="eastAsia" w:ascii="CESI仿宋-GB2312" w:hAnsi="CESI仿宋-GB2312" w:eastAsia="CESI仿宋-GB2312" w:cs="CESI仿宋-GB2312"/>
          <w:sz w:val="32"/>
          <w:szCs w:val="32"/>
        </w:rPr>
        <w:t xml:space="preserve"> 鼓励入选者带领团队按照申报计划，开展关键核心技术攻关，技术成果转化，跨领域、跨文化技术合作等。</w:t>
      </w:r>
    </w:p>
    <w:p>
      <w:pPr>
        <w:spacing w:line="560" w:lineRule="exact"/>
        <w:ind w:firstLine="640" w:firstLineChars="200"/>
        <w:rPr>
          <w:rFonts w:ascii="CESI仿宋-GB2312" w:hAnsi="CESI仿宋-GB2312" w:eastAsia="CESI仿宋-GB2312" w:cs="CESI仿宋-GB2312"/>
          <w:bCs/>
          <w:sz w:val="32"/>
          <w:szCs w:val="32"/>
        </w:rPr>
      </w:pPr>
      <w:r>
        <w:rPr>
          <w:rFonts w:hint="eastAsia" w:ascii="CESI仿宋-GB2312" w:hAnsi="CESI仿宋-GB2312" w:eastAsia="CESI仿宋-GB2312" w:cs="CESI仿宋-GB2312"/>
          <w:b/>
          <w:sz w:val="32"/>
          <w:szCs w:val="32"/>
        </w:rPr>
        <w:t>第二十五条</w:t>
      </w:r>
      <w:r>
        <w:rPr>
          <w:rFonts w:hint="eastAsia" w:ascii="CESI仿宋-GB2312" w:hAnsi="CESI仿宋-GB2312" w:eastAsia="CESI仿宋-GB2312" w:cs="CESI仿宋-GB2312"/>
          <w:bCs/>
          <w:sz w:val="32"/>
          <w:szCs w:val="32"/>
        </w:rPr>
        <w:t xml:space="preserve"> 北京市科协与各推荐单位联动，持续开展常态化跟踪服务，优化培养方式、共享培养资源、选树培养标杆等。</w:t>
      </w:r>
    </w:p>
    <w:p>
      <w:pPr>
        <w:spacing w:line="560" w:lineRule="atLeas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第七章 全过程管理</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 xml:space="preserve">第二十六条 </w:t>
      </w:r>
      <w:r>
        <w:rPr>
          <w:rFonts w:hint="eastAsia" w:ascii="CESI仿宋-GB2312" w:hAnsi="CESI仿宋-GB2312" w:eastAsia="CESI仿宋-GB2312" w:cs="CESI仿宋-GB2312"/>
          <w:sz w:val="32"/>
          <w:szCs w:val="32"/>
        </w:rPr>
        <w:t>卓越工程师成长计划经费使用通过负面清单进行管理约束。</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 xml:space="preserve">第二十七条 </w:t>
      </w:r>
      <w:r>
        <w:rPr>
          <w:rFonts w:hint="eastAsia" w:ascii="CESI仿宋-GB2312" w:hAnsi="CESI仿宋-GB2312" w:eastAsia="CESI仿宋-GB2312" w:cs="CESI仿宋-GB2312"/>
          <w:sz w:val="32"/>
          <w:szCs w:val="32"/>
        </w:rPr>
        <w:t>建立入选者联系沟通机制和信息更新管理机制，对入选者培养过程进行管理，加强日常联系。</w:t>
      </w:r>
    </w:p>
    <w:p>
      <w:pPr>
        <w:spacing w:line="560" w:lineRule="exact"/>
        <w:ind w:firstLine="640" w:firstLineChars="200"/>
        <w:rPr>
          <w:rFonts w:ascii="CESI仿宋-GB2312" w:hAnsi="CESI仿宋-GB2312" w:eastAsia="CESI仿宋-GB2312" w:cs="CESI仿宋-GB2312"/>
          <w:b/>
          <w:sz w:val="32"/>
          <w:szCs w:val="32"/>
        </w:rPr>
      </w:pPr>
      <w:r>
        <w:rPr>
          <w:rFonts w:hint="eastAsia" w:ascii="CESI仿宋-GB2312" w:hAnsi="CESI仿宋-GB2312" w:eastAsia="CESI仿宋-GB2312" w:cs="CESI仿宋-GB2312"/>
          <w:b/>
          <w:bCs/>
          <w:sz w:val="32"/>
          <w:szCs w:val="32"/>
        </w:rPr>
        <w:t xml:space="preserve">第二十八条 </w:t>
      </w:r>
      <w:r>
        <w:rPr>
          <w:rFonts w:hint="eastAsia" w:ascii="CESI仿宋-GB2312" w:hAnsi="CESI仿宋-GB2312" w:eastAsia="CESI仿宋-GB2312" w:cs="CESI仿宋-GB2312"/>
          <w:sz w:val="32"/>
          <w:szCs w:val="32"/>
        </w:rPr>
        <w:t>入选者在执行期内如工作发生变动且新单位仍在北京的，应提出书面申请，由原立项单位签署同意并经市科协批准，可将剩余经费划到新单位继续管理使用。</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 xml:space="preserve">第二十九条 </w:t>
      </w:r>
      <w:r>
        <w:rPr>
          <w:rFonts w:hint="eastAsia" w:ascii="CESI仿宋-GB2312" w:hAnsi="CESI仿宋-GB2312" w:eastAsia="CESI仿宋-GB2312" w:cs="CESI仿宋-GB2312"/>
          <w:sz w:val="32"/>
          <w:szCs w:val="32"/>
        </w:rPr>
        <w:t>根据培养周期建立考核评估机制，开展立项单位、入选者培养绩效考核，通过考核评估发现问题，及时纠正，促进入选者培养工作顺利推进。</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第三十条</w:t>
      </w:r>
      <w:r>
        <w:rPr>
          <w:rFonts w:hint="eastAsia" w:ascii="CESI仿宋-GB2312" w:hAnsi="CESI仿宋-GB2312" w:eastAsia="CESI仿宋-GB2312" w:cs="CESI仿宋-GB2312"/>
          <w:sz w:val="32"/>
          <w:szCs w:val="32"/>
        </w:rPr>
        <w:t xml:space="preserve"> 坚持“谁使用谁负责”原则，突出立项单位主体地位，强化管理监督，严格退出程序。</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（一）对因个人原因提出放弃入选资格的，按主动退出办理。</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（二）对有下列情形之一的，中止或取消入选者资格，停止资金拨付及其相应待遇，情节严重的，按规定追回所拨经费：</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1.当年考核不合格，整改后仍达不到要求的；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2.入选者在培养期工作变动调到外省市，或因工作调动脱离原研究领域的；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3.经费使用出现负面清单所列情况，经提醒督促仍未按要求进行整改的；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4.弄虚作假，谎报成果，采取不正当手段骗取入选资格的；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5.违反职业道德和社会公德，产生恶劣影响的；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6.因本人过失给国家、集体和他人造成重大经济损失或严重后果的；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7.被依法追究刑事责任的。</w:t>
      </w:r>
    </w:p>
    <w:p>
      <w:pPr>
        <w:spacing w:line="560" w:lineRule="exac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第三十一条</w:t>
      </w:r>
      <w:r>
        <w:rPr>
          <w:rFonts w:hint="eastAsia" w:ascii="CESI仿宋-GB2312" w:hAnsi="CESI仿宋-GB2312" w:eastAsia="CESI仿宋-GB2312" w:cs="CESI仿宋-GB2312"/>
          <w:sz w:val="32"/>
          <w:szCs w:val="32"/>
        </w:rPr>
        <w:t xml:space="preserve">  执行期结束后，组织项目评审。</w:t>
      </w:r>
    </w:p>
    <w:p>
      <w:pPr>
        <w:keepNext/>
        <w:keepLines/>
        <w:spacing w:line="578" w:lineRule="auto"/>
        <w:jc w:val="center"/>
        <w:outlineLvl w:val="0"/>
        <w:rPr>
          <w:rFonts w:ascii="黑体" w:hAnsi="黑体" w:eastAsia="黑体" w:cs="微软雅黑"/>
          <w:bCs/>
          <w:kern w:val="44"/>
          <w:sz w:val="32"/>
          <w:szCs w:val="32"/>
        </w:rPr>
      </w:pPr>
      <w:r>
        <w:rPr>
          <w:rFonts w:hint="eastAsia" w:ascii="黑体" w:hAnsi="黑体" w:eastAsia="黑体" w:cs="微软雅黑"/>
          <w:bCs/>
          <w:kern w:val="44"/>
          <w:sz w:val="32"/>
          <w:szCs w:val="32"/>
        </w:rPr>
        <w:t>第八章 附  则</w:t>
      </w:r>
    </w:p>
    <w:p>
      <w:pPr>
        <w:spacing w:line="560" w:lineRule="atLeas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 xml:space="preserve">第三十二条 </w:t>
      </w:r>
      <w:r>
        <w:rPr>
          <w:rFonts w:hint="eastAsia" w:ascii="CESI仿宋-GB2312" w:hAnsi="CESI仿宋-GB2312" w:eastAsia="CESI仿宋-GB2312" w:cs="CESI仿宋-GB2312"/>
          <w:sz w:val="32"/>
          <w:szCs w:val="32"/>
        </w:rPr>
        <w:t>本办法涉及的评审及考核环节中，工作人员和专家都应对人才及其立项单位相关信息严格保密，并且对评审及考核中相关人员发表的意见、进行的讨论也要严格保密。</w:t>
      </w:r>
    </w:p>
    <w:p>
      <w:pPr>
        <w:spacing w:line="560" w:lineRule="atLeas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第三十三条</w:t>
      </w:r>
      <w:r>
        <w:rPr>
          <w:rFonts w:hint="eastAsia" w:ascii="CESI仿宋-GB2312" w:hAnsi="CESI仿宋-GB2312" w:eastAsia="CESI仿宋-GB2312" w:cs="CESI仿宋-GB2312"/>
          <w:sz w:val="32"/>
          <w:szCs w:val="32"/>
        </w:rPr>
        <w:t xml:space="preserve"> 北京市科协定期对本办法落实情况进行跟踪研判，及时发现问题、应对形势变化,根据需要及时进行办法修订完善。</w:t>
      </w:r>
    </w:p>
    <w:p>
      <w:pPr>
        <w:spacing w:line="560" w:lineRule="atLeas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第三十四条</w:t>
      </w:r>
      <w:r>
        <w:rPr>
          <w:rFonts w:hint="eastAsia" w:ascii="CESI仿宋-GB2312" w:hAnsi="CESI仿宋-GB2312" w:eastAsia="CESI仿宋-GB2312" w:cs="CESI仿宋-GB2312"/>
          <w:sz w:val="32"/>
          <w:szCs w:val="32"/>
        </w:rPr>
        <w:t xml:space="preserve"> 本办法由北京市科协负责解释。</w:t>
      </w:r>
    </w:p>
    <w:p>
      <w:pPr>
        <w:spacing w:line="560" w:lineRule="atLeast"/>
        <w:ind w:firstLine="640" w:firstLineChars="200"/>
        <w:rPr>
          <w:rFonts w:ascii="CESI仿宋-GB2312" w:hAnsi="CESI仿宋-GB2312" w:eastAsia="CESI仿宋-GB2312" w:cs="CESI仿宋-GB2312"/>
          <w:sz w:val="32"/>
          <w:szCs w:val="32"/>
        </w:rPr>
      </w:pPr>
      <w:r>
        <w:rPr>
          <w:rFonts w:hint="eastAsia" w:ascii="CESI仿宋-GB2312" w:hAnsi="CESI仿宋-GB2312" w:eastAsia="CESI仿宋-GB2312" w:cs="CESI仿宋-GB2312"/>
          <w:b/>
          <w:sz w:val="32"/>
          <w:szCs w:val="32"/>
        </w:rPr>
        <w:t xml:space="preserve">第三十五条 </w:t>
      </w:r>
      <w:r>
        <w:rPr>
          <w:rFonts w:hint="eastAsia" w:ascii="CESI仿宋-GB2312" w:hAnsi="CESI仿宋-GB2312" w:eastAsia="CESI仿宋-GB2312" w:cs="CESI仿宋-GB2312"/>
          <w:sz w:val="32"/>
          <w:szCs w:val="32"/>
        </w:rPr>
        <w:t>本办法自2023年7月13日起施行。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script"/>
    <w:pitch w:val="default"/>
    <w:sig w:usb0="00000000" w:usb1="00000000"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CESI仿宋-GB2312">
    <w:altName w:val="微软雅黑"/>
    <w:panose1 w:val="000000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0112163"/>
    </w:sdtPr>
    <w:sdtEndPr>
      <w:rPr>
        <w:rFonts w:ascii="宋体" w:hAnsi="宋体" w:eastAsia="宋体"/>
        <w:sz w:val="24"/>
        <w:szCs w:val="24"/>
      </w:rPr>
    </w:sdtEndPr>
    <w:sdtContent>
      <w:p>
        <w:pPr>
          <w:pStyle w:val="7"/>
          <w:jc w:val="center"/>
          <w:rPr>
            <w:rFonts w:ascii="宋体" w:hAnsi="宋体" w:eastAsia="宋体"/>
            <w:sz w:val="24"/>
            <w:szCs w:val="24"/>
          </w:rPr>
        </w:pP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w:t>
        </w:r>
        <w:r>
          <w:rPr>
            <w:rFonts w:ascii="宋体" w:hAnsi="宋体" w:eastAsia="宋体"/>
            <w:sz w:val="24"/>
            <w:szCs w:val="24"/>
          </w:rPr>
          <w:t xml:space="preserve"> 9 -</w:t>
        </w:r>
        <w:r>
          <w:rPr>
            <w:rFonts w:ascii="宋体" w:hAnsi="宋体" w:eastAsia="宋体"/>
            <w:sz w:val="24"/>
            <w:szCs w:val="24"/>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yYTE5Yzg2YzFlY2I1OGYyZDRmODIyNWI4NzY2YzMifQ=="/>
  </w:docVars>
  <w:rsids>
    <w:rsidRoot w:val="00ED7680"/>
    <w:rsid w:val="0004113C"/>
    <w:rsid w:val="0004202B"/>
    <w:rsid w:val="00071FD6"/>
    <w:rsid w:val="00073BD6"/>
    <w:rsid w:val="000C06B9"/>
    <w:rsid w:val="00103C77"/>
    <w:rsid w:val="001223A8"/>
    <w:rsid w:val="001338D6"/>
    <w:rsid w:val="001B790C"/>
    <w:rsid w:val="001C2E40"/>
    <w:rsid w:val="001E7A44"/>
    <w:rsid w:val="00205215"/>
    <w:rsid w:val="0022206E"/>
    <w:rsid w:val="00222B25"/>
    <w:rsid w:val="00267C20"/>
    <w:rsid w:val="00270822"/>
    <w:rsid w:val="00280516"/>
    <w:rsid w:val="0028332C"/>
    <w:rsid w:val="002900AA"/>
    <w:rsid w:val="002C0F8D"/>
    <w:rsid w:val="00356AC1"/>
    <w:rsid w:val="0038664B"/>
    <w:rsid w:val="003944C5"/>
    <w:rsid w:val="003A2C1C"/>
    <w:rsid w:val="004362B0"/>
    <w:rsid w:val="00463B91"/>
    <w:rsid w:val="004D7EB8"/>
    <w:rsid w:val="00511C9D"/>
    <w:rsid w:val="00513FAE"/>
    <w:rsid w:val="00516514"/>
    <w:rsid w:val="0051688B"/>
    <w:rsid w:val="005266AD"/>
    <w:rsid w:val="005272C8"/>
    <w:rsid w:val="005316E0"/>
    <w:rsid w:val="00533C86"/>
    <w:rsid w:val="0054345B"/>
    <w:rsid w:val="0054453C"/>
    <w:rsid w:val="0058703B"/>
    <w:rsid w:val="00597211"/>
    <w:rsid w:val="005F50E5"/>
    <w:rsid w:val="00663AE8"/>
    <w:rsid w:val="0066679C"/>
    <w:rsid w:val="006C0339"/>
    <w:rsid w:val="006D5657"/>
    <w:rsid w:val="006D6D36"/>
    <w:rsid w:val="006E7EF4"/>
    <w:rsid w:val="0070159F"/>
    <w:rsid w:val="007217D5"/>
    <w:rsid w:val="00746EBF"/>
    <w:rsid w:val="007712BE"/>
    <w:rsid w:val="007865D2"/>
    <w:rsid w:val="007C024F"/>
    <w:rsid w:val="007F716E"/>
    <w:rsid w:val="0084377A"/>
    <w:rsid w:val="00873BDF"/>
    <w:rsid w:val="00876817"/>
    <w:rsid w:val="008A1B00"/>
    <w:rsid w:val="008A4CB0"/>
    <w:rsid w:val="008B02D3"/>
    <w:rsid w:val="008E4D36"/>
    <w:rsid w:val="00900E17"/>
    <w:rsid w:val="00907203"/>
    <w:rsid w:val="00916652"/>
    <w:rsid w:val="009227F9"/>
    <w:rsid w:val="00942D57"/>
    <w:rsid w:val="009564C7"/>
    <w:rsid w:val="00967217"/>
    <w:rsid w:val="0097358E"/>
    <w:rsid w:val="009753F6"/>
    <w:rsid w:val="009A039A"/>
    <w:rsid w:val="009F742A"/>
    <w:rsid w:val="009F7B57"/>
    <w:rsid w:val="00A16F68"/>
    <w:rsid w:val="00A7641F"/>
    <w:rsid w:val="00A85AD1"/>
    <w:rsid w:val="00A97199"/>
    <w:rsid w:val="00AB0CE8"/>
    <w:rsid w:val="00AE0173"/>
    <w:rsid w:val="00AF246B"/>
    <w:rsid w:val="00B25DDF"/>
    <w:rsid w:val="00B64AB6"/>
    <w:rsid w:val="00B67425"/>
    <w:rsid w:val="00B97B44"/>
    <w:rsid w:val="00BA66C7"/>
    <w:rsid w:val="00BA686B"/>
    <w:rsid w:val="00BC2A46"/>
    <w:rsid w:val="00BC647F"/>
    <w:rsid w:val="00BE11EA"/>
    <w:rsid w:val="00C3352C"/>
    <w:rsid w:val="00C65D1B"/>
    <w:rsid w:val="00D63546"/>
    <w:rsid w:val="00D95B0A"/>
    <w:rsid w:val="00D97568"/>
    <w:rsid w:val="00DB1C99"/>
    <w:rsid w:val="00DB4F04"/>
    <w:rsid w:val="00DD5FAA"/>
    <w:rsid w:val="00DD60CB"/>
    <w:rsid w:val="00DE0CFB"/>
    <w:rsid w:val="00DF6924"/>
    <w:rsid w:val="00E344CB"/>
    <w:rsid w:val="00E41F48"/>
    <w:rsid w:val="00E5659F"/>
    <w:rsid w:val="00E65F79"/>
    <w:rsid w:val="00E77CD7"/>
    <w:rsid w:val="00E804DE"/>
    <w:rsid w:val="00EA4391"/>
    <w:rsid w:val="00EC141A"/>
    <w:rsid w:val="00EC6AA0"/>
    <w:rsid w:val="00ED7680"/>
    <w:rsid w:val="00F2696A"/>
    <w:rsid w:val="00F35735"/>
    <w:rsid w:val="00F6266C"/>
    <w:rsid w:val="00F677F8"/>
    <w:rsid w:val="00FA35DF"/>
    <w:rsid w:val="00FE1F65"/>
    <w:rsid w:val="00FE6E17"/>
    <w:rsid w:val="00FF1939"/>
    <w:rsid w:val="13D077CD"/>
    <w:rsid w:val="1653BCFF"/>
    <w:rsid w:val="17AFF5A2"/>
    <w:rsid w:val="1F8F1DED"/>
    <w:rsid w:val="2D37EDB6"/>
    <w:rsid w:val="308E9486"/>
    <w:rsid w:val="3A69EA79"/>
    <w:rsid w:val="3D775982"/>
    <w:rsid w:val="3E885BCE"/>
    <w:rsid w:val="3F679568"/>
    <w:rsid w:val="3FA63E48"/>
    <w:rsid w:val="3FFB15DE"/>
    <w:rsid w:val="3FFF9C73"/>
    <w:rsid w:val="446364F9"/>
    <w:rsid w:val="4B83441C"/>
    <w:rsid w:val="4BFF2742"/>
    <w:rsid w:val="5774737D"/>
    <w:rsid w:val="5779BC80"/>
    <w:rsid w:val="577F889A"/>
    <w:rsid w:val="57CE623F"/>
    <w:rsid w:val="587F30FB"/>
    <w:rsid w:val="59CE78C2"/>
    <w:rsid w:val="5B6F9708"/>
    <w:rsid w:val="5EFF8E83"/>
    <w:rsid w:val="5FFD9338"/>
    <w:rsid w:val="66F7E6B4"/>
    <w:rsid w:val="6A0028CF"/>
    <w:rsid w:val="6C2A3B5F"/>
    <w:rsid w:val="6EF3047C"/>
    <w:rsid w:val="6F7F5EFA"/>
    <w:rsid w:val="72F34269"/>
    <w:rsid w:val="770F383E"/>
    <w:rsid w:val="7B566CF5"/>
    <w:rsid w:val="7BDF4035"/>
    <w:rsid w:val="7BDF460E"/>
    <w:rsid w:val="7CFF70CF"/>
    <w:rsid w:val="7DFE1A42"/>
    <w:rsid w:val="7E87604F"/>
    <w:rsid w:val="7EF65043"/>
    <w:rsid w:val="7EF7B47F"/>
    <w:rsid w:val="7EFAEFE7"/>
    <w:rsid w:val="7FAF6837"/>
    <w:rsid w:val="7FD76D9E"/>
    <w:rsid w:val="7FFBB474"/>
    <w:rsid w:val="7FFFF7C2"/>
    <w:rsid w:val="AAD70731"/>
    <w:rsid w:val="B7FF078F"/>
    <w:rsid w:val="BD5E1269"/>
    <w:rsid w:val="BE7B8BEE"/>
    <w:rsid w:val="BED51B24"/>
    <w:rsid w:val="BEFEAD4E"/>
    <w:rsid w:val="BF7F9A15"/>
    <w:rsid w:val="BFC7B94F"/>
    <w:rsid w:val="BFDFE02B"/>
    <w:rsid w:val="BFE76B4F"/>
    <w:rsid w:val="BFFF9726"/>
    <w:rsid w:val="C6FE70E8"/>
    <w:rsid w:val="DFBF4611"/>
    <w:rsid w:val="DFDD28D2"/>
    <w:rsid w:val="DFDD8308"/>
    <w:rsid w:val="E1FB32C6"/>
    <w:rsid w:val="E7FF6299"/>
    <w:rsid w:val="EFFC5985"/>
    <w:rsid w:val="EFFD557B"/>
    <w:rsid w:val="F09F24FC"/>
    <w:rsid w:val="F6EFD038"/>
    <w:rsid w:val="F7BE41CD"/>
    <w:rsid w:val="F7FF45E2"/>
    <w:rsid w:val="FA597424"/>
    <w:rsid w:val="FB77BCDF"/>
    <w:rsid w:val="FB7FA0A4"/>
    <w:rsid w:val="FBABB977"/>
    <w:rsid w:val="FBFB80F6"/>
    <w:rsid w:val="FD760C17"/>
    <w:rsid w:val="FDDFB7EF"/>
    <w:rsid w:val="FEB517F3"/>
    <w:rsid w:val="FEFF683F"/>
    <w:rsid w:val="FF7D352D"/>
    <w:rsid w:val="FFE7850A"/>
    <w:rsid w:val="FFF39FCF"/>
    <w:rsid w:val="FFF94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0"/>
    <w:semiHidden/>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Balloon Text"/>
    <w:basedOn w:val="1"/>
    <w:link w:val="18"/>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Autospacing="1" w:afterAutospacing="1"/>
      <w:jc w:val="left"/>
    </w:pPr>
    <w:rPr>
      <w:rFonts w:cs="Times New Roman"/>
      <w:kern w:val="0"/>
      <w:sz w:val="24"/>
    </w:rPr>
  </w:style>
  <w:style w:type="paragraph" w:styleId="10">
    <w:name w:val="annotation subject"/>
    <w:basedOn w:val="5"/>
    <w:next w:val="5"/>
    <w:link w:val="22"/>
    <w:semiHidden/>
    <w:unhideWhenUsed/>
    <w:qFormat/>
    <w:uiPriority w:val="99"/>
    <w:rPr>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semiHidden/>
    <w:unhideWhenUsed/>
    <w:qFormat/>
    <w:uiPriority w:val="99"/>
    <w:rPr>
      <w:sz w:val="21"/>
      <w:szCs w:val="21"/>
    </w:rPr>
  </w:style>
  <w:style w:type="character" w:customStyle="1" w:styleId="15">
    <w:name w:val="页眉 字符"/>
    <w:basedOn w:val="13"/>
    <w:link w:val="8"/>
    <w:qFormat/>
    <w:uiPriority w:val="99"/>
    <w:rPr>
      <w:sz w:val="18"/>
      <w:szCs w:val="18"/>
    </w:rPr>
  </w:style>
  <w:style w:type="character" w:customStyle="1" w:styleId="16">
    <w:name w:val="页脚 字符"/>
    <w:basedOn w:val="13"/>
    <w:link w:val="7"/>
    <w:qFormat/>
    <w:uiPriority w:val="99"/>
    <w:rPr>
      <w:sz w:val="18"/>
      <w:szCs w:val="18"/>
    </w:rPr>
  </w:style>
  <w:style w:type="character" w:customStyle="1" w:styleId="17">
    <w:name w:val="标题 2 字符"/>
    <w:basedOn w:val="13"/>
    <w:link w:val="3"/>
    <w:semiHidden/>
    <w:qFormat/>
    <w:uiPriority w:val="9"/>
    <w:rPr>
      <w:rFonts w:asciiTheme="majorHAnsi" w:hAnsiTheme="majorHAnsi" w:eastAsiaTheme="majorEastAsia" w:cstheme="majorBidi"/>
      <w:b/>
      <w:bCs/>
      <w:sz w:val="32"/>
      <w:szCs w:val="32"/>
    </w:rPr>
  </w:style>
  <w:style w:type="character" w:customStyle="1" w:styleId="18">
    <w:name w:val="批注框文本 字符"/>
    <w:basedOn w:val="13"/>
    <w:link w:val="6"/>
    <w:semiHidden/>
    <w:qFormat/>
    <w:uiPriority w:val="99"/>
    <w:rPr>
      <w:rFonts w:asciiTheme="minorHAnsi" w:hAnsiTheme="minorHAnsi" w:eastAsiaTheme="minorEastAsia" w:cstheme="minorBidi"/>
      <w:kern w:val="2"/>
      <w:sz w:val="18"/>
      <w:szCs w:val="18"/>
    </w:rPr>
  </w:style>
  <w:style w:type="character" w:customStyle="1" w:styleId="19">
    <w:name w:val="标题 1 字符"/>
    <w:basedOn w:val="13"/>
    <w:link w:val="2"/>
    <w:qFormat/>
    <w:uiPriority w:val="9"/>
    <w:rPr>
      <w:rFonts w:asciiTheme="minorHAnsi" w:hAnsiTheme="minorHAnsi" w:eastAsiaTheme="minorEastAsia" w:cstheme="minorBidi"/>
      <w:b/>
      <w:bCs/>
      <w:kern w:val="44"/>
      <w:sz w:val="44"/>
      <w:szCs w:val="44"/>
    </w:rPr>
  </w:style>
  <w:style w:type="character" w:customStyle="1" w:styleId="20">
    <w:name w:val="标题 3 字符"/>
    <w:basedOn w:val="13"/>
    <w:link w:val="4"/>
    <w:semiHidden/>
    <w:qFormat/>
    <w:uiPriority w:val="9"/>
    <w:rPr>
      <w:rFonts w:asciiTheme="minorHAnsi" w:hAnsiTheme="minorHAnsi" w:eastAsiaTheme="minorEastAsia" w:cstheme="minorBidi"/>
      <w:b/>
      <w:bCs/>
      <w:kern w:val="2"/>
      <w:sz w:val="32"/>
      <w:szCs w:val="32"/>
    </w:rPr>
  </w:style>
  <w:style w:type="character" w:customStyle="1" w:styleId="21">
    <w:name w:val="批注文字 字符"/>
    <w:basedOn w:val="13"/>
    <w:link w:val="5"/>
    <w:semiHidden/>
    <w:qFormat/>
    <w:uiPriority w:val="99"/>
    <w:rPr>
      <w:rFonts w:asciiTheme="minorHAnsi" w:hAnsiTheme="minorHAnsi" w:eastAsiaTheme="minorEastAsia" w:cstheme="minorBidi"/>
      <w:kern w:val="2"/>
      <w:sz w:val="21"/>
      <w:szCs w:val="22"/>
    </w:rPr>
  </w:style>
  <w:style w:type="character" w:customStyle="1" w:styleId="22">
    <w:name w:val="批注主题 字符"/>
    <w:basedOn w:val="21"/>
    <w:link w:val="10"/>
    <w:semiHidden/>
    <w:qFormat/>
    <w:uiPriority w:val="99"/>
    <w:rPr>
      <w:rFonts w:asciiTheme="minorHAnsi" w:hAnsiTheme="minorHAnsi" w:eastAsiaTheme="minorEastAsia" w:cstheme="minorBidi"/>
      <w:b/>
      <w:bCs/>
      <w:kern w:val="2"/>
      <w:sz w:val="21"/>
      <w:szCs w:val="22"/>
    </w:rPr>
  </w:style>
  <w:style w:type="paragraph" w:styleId="23">
    <w:name w:val="List Paragraph"/>
    <w:basedOn w:val="1"/>
    <w:qFormat/>
    <w:uiPriority w:val="99"/>
    <w:pPr>
      <w:ind w:firstLine="420" w:firstLineChars="200"/>
    </w:pPr>
  </w:style>
  <w:style w:type="paragraph" w:customStyle="1" w:styleId="24">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3364</Words>
  <Characters>3392</Characters>
  <Lines>24</Lines>
  <Paragraphs>7</Paragraphs>
  <TotalTime>32</TotalTime>
  <ScaleCrop>false</ScaleCrop>
  <LinksUpToDate>false</LinksUpToDate>
  <CharactersWithSpaces>3441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2023-07-13T09:15:00Z</dcterms:created>
  <dc:creator>黄秀丽</dc:creator>
  <cp:lastModifiedBy>谦念ain</cp:lastModifiedBy>
  <cp:lastPrinted>2023-07-13T09:40:00Z</cp:lastPrinted>
  <dcterms:modified xsi:type="dcterms:W3CDTF">2023-07-17T08:12:29Z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A76A6CD19EAD4476BA068216820C12E7_13</vt:lpwstr>
  </property>
</Properties>
</file>