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94" w:lineRule="exact"/>
        <w:jc w:val="both"/>
        <w:textAlignment w:val="auto"/>
        <w:rPr>
          <w:rFonts w:hint="default" w:ascii="黑体" w:hAnsi="黑体" w:eastAsia="黑体" w:cs="黑体"/>
          <w:sz w:val="32"/>
          <w:szCs w:val="32"/>
          <w:lang w:val="en-US" w:eastAsia="zh-CN"/>
        </w:rPr>
      </w:pPr>
      <w:bookmarkStart w:id="1" w:name="_GoBack"/>
      <w:bookmarkEnd w:id="1"/>
      <w:r>
        <w:rPr>
          <w:rFonts w:hint="eastAsia" w:ascii="黑体" w:hAnsi="黑体" w:eastAsia="黑体" w:cs="黑体"/>
          <w:sz w:val="32"/>
          <w:szCs w:val="32"/>
          <w:lang w:eastAsia="zh-CN"/>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val="0"/>
        <w:topLinePunct w:val="0"/>
        <w:autoSpaceDE/>
        <w:autoSpaceDN/>
        <w:bidi w:val="0"/>
        <w:adjustRightInd/>
        <w:snapToGrid/>
        <w:spacing w:line="594" w:lineRule="exact"/>
        <w:jc w:val="both"/>
        <w:textAlignment w:val="auto"/>
        <w:rPr>
          <w:rFonts w:hint="eastAsia" w:ascii="Times New Roman" w:hAnsi="Times New Roman" w:eastAsia="方正小标宋简体"/>
          <w:sz w:val="44"/>
          <w:szCs w:val="44"/>
          <w:lang w:eastAsia="zh-CN"/>
        </w:rPr>
      </w:pPr>
    </w:p>
    <w:p>
      <w:pPr>
        <w:keepNext w:val="0"/>
        <w:keepLines w:val="0"/>
        <w:pageBreakBefore w:val="0"/>
        <w:widowControl w:val="0"/>
        <w:kinsoku/>
        <w:wordWrap/>
        <w:overflowPunct w:val="0"/>
        <w:topLinePunct w:val="0"/>
        <w:autoSpaceDE/>
        <w:autoSpaceDN/>
        <w:bidi w:val="0"/>
        <w:adjustRightInd/>
        <w:snapToGrid/>
        <w:spacing w:line="594"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sz w:val="44"/>
          <w:szCs w:val="44"/>
        </w:rPr>
        <w:t>强制性国家标准实施情况统计分析点</w:t>
      </w:r>
    </w:p>
    <w:p>
      <w:pPr>
        <w:keepNext w:val="0"/>
        <w:keepLines w:val="0"/>
        <w:pageBreakBefore w:val="0"/>
        <w:widowControl w:val="0"/>
        <w:kinsoku/>
        <w:wordWrap/>
        <w:overflowPunct w:val="0"/>
        <w:topLinePunct w:val="0"/>
        <w:autoSpaceDE/>
        <w:autoSpaceDN/>
        <w:bidi w:val="0"/>
        <w:adjustRightInd/>
        <w:snapToGrid/>
        <w:spacing w:line="594" w:lineRule="exact"/>
        <w:jc w:val="center"/>
        <w:textAlignment w:val="auto"/>
        <w:rPr>
          <w:rFonts w:hint="eastAsia" w:ascii="Times New Roman" w:hAnsi="Times New Roman" w:eastAsia="方正小标宋简体"/>
          <w:sz w:val="44"/>
          <w:szCs w:val="44"/>
        </w:rPr>
      </w:pPr>
      <w:r>
        <w:rPr>
          <w:rFonts w:hint="eastAsia" w:ascii="Times New Roman" w:hAnsi="Times New Roman" w:eastAsia="方正小标宋简体"/>
          <w:sz w:val="44"/>
          <w:szCs w:val="44"/>
        </w:rPr>
        <w:t>申报和创建指南（</w:t>
      </w:r>
      <w:r>
        <w:rPr>
          <w:rFonts w:hint="eastAsia" w:ascii="Times New Roman" w:hAnsi="Times New Roman" w:eastAsia="方正小标宋简体"/>
          <w:sz w:val="44"/>
          <w:szCs w:val="44"/>
          <w:lang w:val="en-US" w:eastAsia="zh-CN"/>
        </w:rPr>
        <w:t>2022年度</w:t>
      </w:r>
      <w:r>
        <w:rPr>
          <w:rFonts w:hint="eastAsia" w:ascii="Times New Roman" w:hAnsi="Times New Roman" w:eastAsia="方正小标宋简体"/>
          <w:sz w:val="44"/>
          <w:szCs w:val="44"/>
        </w:rPr>
        <w:t>）</w:t>
      </w:r>
    </w:p>
    <w:p>
      <w:pPr>
        <w:keepNext w:val="0"/>
        <w:keepLines w:val="0"/>
        <w:pageBreakBefore w:val="0"/>
        <w:widowControl w:val="0"/>
        <w:kinsoku/>
        <w:wordWrap/>
        <w:overflowPunct w:val="0"/>
        <w:topLinePunct w:val="0"/>
        <w:autoSpaceDE/>
        <w:autoSpaceDN/>
        <w:bidi w:val="0"/>
        <w:adjustRightInd/>
        <w:snapToGrid/>
        <w:spacing w:line="594" w:lineRule="exact"/>
        <w:jc w:val="center"/>
        <w:textAlignment w:val="auto"/>
        <w:rPr>
          <w:rFonts w:ascii="Times New Roman" w:hAnsi="Times New Roman" w:eastAsia="仿宋"/>
          <w:sz w:val="32"/>
          <w:szCs w:val="32"/>
        </w:rPr>
      </w:pP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lang w:eastAsia="zh-CN"/>
        </w:rPr>
        <w:t>按照</w:t>
      </w:r>
      <w:r>
        <w:rPr>
          <w:rFonts w:hint="eastAsia" w:ascii="Times New Roman" w:hAnsi="Times New Roman" w:eastAsia="仿宋"/>
          <w:sz w:val="32"/>
          <w:szCs w:val="32"/>
        </w:rPr>
        <w:t>《标准化法》《强制性国家标准管理办法》</w:t>
      </w:r>
      <w:r>
        <w:rPr>
          <w:rFonts w:hint="eastAsia" w:ascii="Times New Roman" w:hAnsi="Times New Roman" w:eastAsia="仿宋"/>
          <w:sz w:val="32"/>
          <w:szCs w:val="32"/>
          <w:lang w:eastAsia="zh-CN"/>
        </w:rPr>
        <w:t>要求</w:t>
      </w:r>
      <w:r>
        <w:rPr>
          <w:rFonts w:hint="eastAsia" w:ascii="Times New Roman" w:hAnsi="Times New Roman" w:eastAsia="仿宋"/>
          <w:sz w:val="32"/>
          <w:szCs w:val="32"/>
        </w:rPr>
        <w:t>，</w:t>
      </w:r>
      <w:r>
        <w:rPr>
          <w:rFonts w:hint="eastAsia" w:ascii="Times New Roman" w:hAnsi="Times New Roman" w:eastAsia="仿宋"/>
          <w:sz w:val="32"/>
          <w:szCs w:val="32"/>
          <w:lang w:eastAsia="zh-CN"/>
        </w:rPr>
        <w:t>国家标准化管理委员会</w:t>
      </w:r>
      <w:r>
        <w:rPr>
          <w:rFonts w:hint="eastAsia" w:ascii="Times New Roman" w:hAnsi="Times New Roman" w:eastAsia="仿宋"/>
          <w:sz w:val="32"/>
          <w:szCs w:val="32"/>
          <w:lang w:val="en-US" w:eastAsia="zh-CN"/>
        </w:rPr>
        <w:t>计划</w:t>
      </w:r>
      <w:r>
        <w:rPr>
          <w:rFonts w:hint="eastAsia" w:ascii="Times New Roman" w:hAnsi="Times New Roman" w:eastAsia="仿宋"/>
          <w:sz w:val="32"/>
          <w:szCs w:val="32"/>
          <w:lang w:eastAsia="zh-CN"/>
        </w:rPr>
        <w:t>通过</w:t>
      </w:r>
      <w:r>
        <w:rPr>
          <w:rFonts w:hint="eastAsia" w:ascii="Times New Roman" w:hAnsi="Times New Roman" w:eastAsia="仿宋" w:cs="Times New Roman"/>
          <w:sz w:val="32"/>
          <w:szCs w:val="32"/>
        </w:rPr>
        <w:t>建设一批高水平的</w:t>
      </w:r>
      <w:r>
        <w:rPr>
          <w:rFonts w:hint="eastAsia" w:ascii="Times New Roman" w:hAnsi="Times New Roman" w:eastAsia="仿宋"/>
          <w:sz w:val="32"/>
          <w:szCs w:val="32"/>
        </w:rPr>
        <w:t>强制性国家标准实施情况统计分析点（以下简称统计分析点）</w:t>
      </w:r>
      <w:r>
        <w:rPr>
          <w:rFonts w:hint="eastAsia" w:ascii="Times New Roman" w:hAnsi="Times New Roman" w:eastAsia="仿宋" w:cs="Times New Roman"/>
          <w:sz w:val="32"/>
          <w:szCs w:val="32"/>
        </w:rPr>
        <w:t>，形成标准实施情况统计分析</w:t>
      </w:r>
      <w:r>
        <w:rPr>
          <w:rFonts w:hint="eastAsia" w:ascii="Times New Roman" w:hAnsi="Times New Roman" w:eastAsia="仿宋" w:cs="Times New Roman"/>
          <w:sz w:val="32"/>
          <w:szCs w:val="32"/>
          <w:lang w:eastAsia="zh-CN"/>
        </w:rPr>
        <w:t>平台</w:t>
      </w:r>
      <w:r>
        <w:rPr>
          <w:rFonts w:hint="eastAsia" w:ascii="Times New Roman" w:hAnsi="Times New Roman" w:eastAsia="仿宋" w:cs="Times New Roman"/>
          <w:sz w:val="32"/>
          <w:szCs w:val="32"/>
        </w:rPr>
        <w:t>体系</w:t>
      </w:r>
      <w:r>
        <w:rPr>
          <w:rFonts w:hint="eastAsia" w:ascii="Times New Roman" w:hAnsi="Times New Roman" w:eastAsia="仿宋" w:cs="Times New Roman"/>
          <w:sz w:val="32"/>
          <w:szCs w:val="32"/>
          <w:lang w:eastAsia="zh-CN"/>
        </w:rPr>
        <w:t>和技术体系</w:t>
      </w:r>
      <w:r>
        <w:rPr>
          <w:rFonts w:hint="eastAsia" w:ascii="Times New Roman" w:hAnsi="Times New Roman" w:eastAsia="仿宋" w:cs="Times New Roman"/>
          <w:sz w:val="32"/>
          <w:szCs w:val="32"/>
        </w:rPr>
        <w:t>，实现标准研制、实施和信息反馈闭环管理，</w:t>
      </w:r>
      <w:r>
        <w:rPr>
          <w:rFonts w:hint="eastAsia" w:ascii="Times New Roman" w:hAnsi="Times New Roman" w:eastAsia="仿宋" w:cs="Times New Roman"/>
          <w:sz w:val="32"/>
          <w:szCs w:val="32"/>
          <w:lang w:val="en-US" w:eastAsia="zh-CN"/>
        </w:rPr>
        <w:t>建立和完善</w:t>
      </w:r>
      <w:r>
        <w:rPr>
          <w:rFonts w:hint="eastAsia" w:ascii="Times New Roman" w:hAnsi="Times New Roman" w:eastAsia="仿宋" w:cs="Times New Roman"/>
          <w:spacing w:val="0"/>
          <w:sz w:val="32"/>
          <w:szCs w:val="32"/>
          <w:lang w:val="en-US" w:eastAsia="zh-CN"/>
        </w:rPr>
        <w:t>强制性标准实施情况统计分析报告制度</w:t>
      </w:r>
      <w:r>
        <w:rPr>
          <w:rFonts w:hint="eastAsia" w:ascii="Times New Roman" w:hAnsi="Times New Roman" w:eastAsia="仿宋" w:cs="Times New Roman"/>
          <w:sz w:val="32"/>
          <w:szCs w:val="32"/>
        </w:rPr>
        <w:t>。</w:t>
      </w:r>
      <w:r>
        <w:rPr>
          <w:rFonts w:hint="eastAsia" w:ascii="Times New Roman" w:hAnsi="Times New Roman" w:eastAsia="仿宋"/>
          <w:sz w:val="32"/>
          <w:szCs w:val="32"/>
        </w:rPr>
        <w:t>为做好</w:t>
      </w:r>
      <w:r>
        <w:rPr>
          <w:rFonts w:hint="eastAsia" w:ascii="Times New Roman" w:hAnsi="Times New Roman" w:eastAsia="仿宋" w:cs="Times New Roman"/>
          <w:sz w:val="32"/>
          <w:szCs w:val="32"/>
        </w:rPr>
        <w:t>统计分析点</w:t>
      </w:r>
      <w:r>
        <w:rPr>
          <w:rFonts w:hint="eastAsia" w:ascii="Times New Roman" w:hAnsi="Times New Roman" w:eastAsia="仿宋"/>
          <w:sz w:val="32"/>
          <w:szCs w:val="32"/>
        </w:rPr>
        <w:t>建设项目的申报工作，规范申报程序，制定本申报指南。</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一、</w:t>
      </w:r>
      <w:r>
        <w:rPr>
          <w:rFonts w:hint="eastAsia" w:ascii="Times New Roman" w:hAnsi="Times New Roman" w:eastAsia="黑体"/>
          <w:sz w:val="32"/>
          <w:szCs w:val="32"/>
          <w:lang w:eastAsia="zh-CN"/>
        </w:rPr>
        <w:t>申报</w:t>
      </w:r>
      <w:r>
        <w:rPr>
          <w:rFonts w:hint="eastAsia" w:ascii="Times New Roman" w:hAnsi="Times New Roman" w:eastAsia="黑体"/>
          <w:sz w:val="32"/>
          <w:szCs w:val="32"/>
        </w:rPr>
        <w:t>原则</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ascii="Times New Roman" w:hAnsi="Times New Roman" w:eastAsia="仿宋"/>
          <w:sz w:val="32"/>
          <w:szCs w:val="32"/>
        </w:rPr>
      </w:pPr>
      <w:r>
        <w:rPr>
          <w:rFonts w:hint="eastAsia" w:ascii="楷体" w:hAnsi="楷体" w:eastAsia="楷体" w:cs="楷体"/>
          <w:sz w:val="32"/>
          <w:szCs w:val="32"/>
          <w:lang w:eastAsia="zh-CN"/>
        </w:rPr>
        <w:t>需求导向原则</w:t>
      </w:r>
      <w:r>
        <w:rPr>
          <w:rFonts w:hint="eastAsia" w:ascii="Times New Roman" w:hAnsi="Times New Roman" w:eastAsia="仿宋"/>
          <w:sz w:val="32"/>
          <w:szCs w:val="32"/>
        </w:rPr>
        <w:t>。统计分析点要将政府监管需求同行业发展需要相结合，坚持公益定位，聚焦行业痛点难点，加强标准宣贯，强化标准实施，帮扶企业开展达标诊断和提升，全力服务产业高质量发展。</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sz w:val="32"/>
          <w:szCs w:val="32"/>
        </w:rPr>
      </w:pPr>
      <w:r>
        <w:rPr>
          <w:rFonts w:hint="eastAsia" w:ascii="楷体" w:hAnsi="楷体" w:eastAsia="楷体" w:cs="楷体"/>
          <w:sz w:val="32"/>
          <w:szCs w:val="32"/>
        </w:rPr>
        <w:t>突出重点</w:t>
      </w:r>
      <w:r>
        <w:rPr>
          <w:rFonts w:hint="eastAsia" w:ascii="楷体" w:hAnsi="楷体" w:eastAsia="楷体" w:cs="楷体"/>
          <w:sz w:val="32"/>
          <w:szCs w:val="32"/>
          <w:lang w:eastAsia="zh-CN"/>
        </w:rPr>
        <w:t>原则</w:t>
      </w:r>
      <w:r>
        <w:rPr>
          <w:rFonts w:hint="eastAsia" w:ascii="Times New Roman" w:hAnsi="Times New Roman" w:eastAsia="仿宋"/>
          <w:sz w:val="32"/>
          <w:szCs w:val="32"/>
        </w:rPr>
        <w:t>。</w:t>
      </w:r>
      <w:r>
        <w:rPr>
          <w:rFonts w:hint="eastAsia" w:ascii="Times New Roman" w:hAnsi="Times New Roman" w:eastAsia="仿宋" w:cs="Times New Roman"/>
          <w:sz w:val="32"/>
          <w:szCs w:val="32"/>
          <w:lang w:eastAsia="zh-CN"/>
        </w:rPr>
        <w:t>统计分析点要</w:t>
      </w:r>
      <w:r>
        <w:rPr>
          <w:rFonts w:hint="eastAsia" w:ascii="Times New Roman" w:hAnsi="Times New Roman" w:eastAsia="仿宋" w:cs="Times New Roman"/>
          <w:sz w:val="32"/>
          <w:szCs w:val="32"/>
        </w:rPr>
        <w:t>依据</w:t>
      </w:r>
      <w:r>
        <w:rPr>
          <w:rFonts w:hint="eastAsia" w:ascii="Times New Roman" w:hAnsi="Times New Roman" w:eastAsia="仿宋" w:cs="Times New Roman"/>
          <w:sz w:val="32"/>
          <w:szCs w:val="32"/>
          <w:lang w:eastAsia="zh-CN"/>
        </w:rPr>
        <w:t>本行业或本地区</w:t>
      </w:r>
      <w:r>
        <w:rPr>
          <w:rFonts w:hint="eastAsia" w:ascii="Times New Roman" w:hAnsi="Times New Roman" w:eastAsia="仿宋" w:cs="Times New Roman"/>
          <w:sz w:val="32"/>
          <w:szCs w:val="32"/>
        </w:rPr>
        <w:t>产业</w:t>
      </w:r>
      <w:r>
        <w:rPr>
          <w:rFonts w:hint="eastAsia" w:ascii="Times New Roman" w:hAnsi="Times New Roman" w:eastAsia="仿宋" w:cs="Times New Roman"/>
          <w:sz w:val="32"/>
          <w:szCs w:val="32"/>
          <w:lang w:eastAsia="zh-CN"/>
        </w:rPr>
        <w:t>集聚情况</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eastAsia="zh-CN"/>
        </w:rPr>
        <w:t>重点</w:t>
      </w:r>
      <w:r>
        <w:rPr>
          <w:rFonts w:hint="eastAsia" w:ascii="Times New Roman" w:hAnsi="Times New Roman" w:eastAsia="仿宋" w:cs="Times New Roman"/>
          <w:sz w:val="32"/>
          <w:szCs w:val="32"/>
        </w:rPr>
        <w:t>选取涉及面广、影响范围大的强制性</w:t>
      </w:r>
      <w:r>
        <w:rPr>
          <w:rFonts w:hint="eastAsia" w:ascii="Times New Roman" w:hAnsi="Times New Roman" w:eastAsia="仿宋" w:cs="Times New Roman"/>
          <w:sz w:val="32"/>
          <w:szCs w:val="32"/>
          <w:lang w:eastAsia="zh-CN"/>
        </w:rPr>
        <w:t>国家</w:t>
      </w:r>
      <w:r>
        <w:rPr>
          <w:rFonts w:hint="eastAsia" w:ascii="Times New Roman" w:hAnsi="Times New Roman" w:eastAsia="仿宋" w:cs="Times New Roman"/>
          <w:sz w:val="32"/>
          <w:szCs w:val="32"/>
        </w:rPr>
        <w:t>标准</w:t>
      </w:r>
      <w:r>
        <w:rPr>
          <w:rFonts w:hint="eastAsia" w:ascii="Times New Roman" w:hAnsi="Times New Roman" w:eastAsia="仿宋" w:cs="Times New Roman"/>
          <w:sz w:val="32"/>
          <w:szCs w:val="32"/>
          <w:lang w:eastAsia="zh-CN"/>
        </w:rPr>
        <w:t>，形成</w:t>
      </w:r>
      <w:r>
        <w:rPr>
          <w:rFonts w:hint="eastAsia" w:ascii="Times New Roman" w:hAnsi="Times New Roman" w:eastAsia="仿宋" w:cs="Times New Roman"/>
          <w:sz w:val="32"/>
          <w:szCs w:val="32"/>
        </w:rPr>
        <w:t>统计分析</w:t>
      </w:r>
      <w:r>
        <w:rPr>
          <w:rFonts w:hint="eastAsia" w:ascii="Times New Roman" w:hAnsi="Times New Roman" w:eastAsia="仿宋" w:cs="Times New Roman"/>
          <w:sz w:val="32"/>
          <w:szCs w:val="32"/>
          <w:lang w:eastAsia="zh-CN"/>
        </w:rPr>
        <w:t>的标准清单</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eastAsia="zh-CN"/>
        </w:rPr>
        <w:t>定期评估，及时反馈标准实施成效和问题</w:t>
      </w:r>
      <w:r>
        <w:rPr>
          <w:rFonts w:hint="eastAsia" w:ascii="Times New Roman" w:hAnsi="Times New Roman" w:eastAsia="仿宋" w:cs="Times New Roman"/>
          <w:sz w:val="32"/>
          <w:szCs w:val="32"/>
        </w:rPr>
        <w:t>。</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sz w:val="32"/>
          <w:szCs w:val="32"/>
        </w:rPr>
      </w:pPr>
      <w:r>
        <w:rPr>
          <w:rFonts w:hint="eastAsia" w:ascii="楷体" w:hAnsi="楷体" w:eastAsia="楷体" w:cs="楷体"/>
          <w:sz w:val="32"/>
          <w:szCs w:val="32"/>
          <w:lang w:eastAsia="zh-CN"/>
        </w:rPr>
        <w:t>创新引领原则</w:t>
      </w:r>
      <w:r>
        <w:rPr>
          <w:rFonts w:hint="eastAsia" w:ascii="Times New Roman" w:hAnsi="Times New Roman" w:eastAsia="仿宋"/>
          <w:sz w:val="32"/>
          <w:szCs w:val="32"/>
        </w:rPr>
        <w:t>。统计分析点要通过机制创新、工具创新和技术提升，不断拓展统计渠道</w:t>
      </w:r>
      <w:r>
        <w:rPr>
          <w:rFonts w:hint="eastAsia" w:ascii="Times New Roman" w:hAnsi="Times New Roman" w:eastAsia="仿宋"/>
          <w:sz w:val="32"/>
          <w:szCs w:val="32"/>
          <w:lang w:eastAsia="zh-CN"/>
        </w:rPr>
        <w:t>，</w:t>
      </w:r>
      <w:r>
        <w:rPr>
          <w:rFonts w:hint="eastAsia" w:ascii="Times New Roman" w:hAnsi="Times New Roman" w:eastAsia="仿宋"/>
          <w:sz w:val="32"/>
          <w:szCs w:val="32"/>
        </w:rPr>
        <w:t>完善分析方法，提升数据全面性、准确性，增强结果有效性，提高服务针对性，逐步形成一批统计分析的典型模式案例。</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二、申报范围</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 w:hAnsi="仿宋" w:eastAsia="仿宋" w:cs="仿宋"/>
          <w:color w:val="000000"/>
          <w:kern w:val="0"/>
          <w:sz w:val="32"/>
          <w:szCs w:val="32"/>
        </w:rPr>
      </w:pPr>
      <w:r>
        <w:rPr>
          <w:rFonts w:hint="default" w:ascii="Times New Roman" w:hAnsi="Times New Roman" w:eastAsia="仿宋" w:cs="Times New Roman"/>
          <w:color w:val="000000"/>
          <w:kern w:val="0"/>
          <w:sz w:val="32"/>
          <w:szCs w:val="32"/>
        </w:rPr>
        <w:t>2022年</w:t>
      </w:r>
      <w:r>
        <w:rPr>
          <w:rFonts w:hint="eastAsia" w:ascii="仿宋" w:hAnsi="仿宋" w:eastAsia="仿宋" w:cs="仿宋"/>
          <w:color w:val="000000"/>
          <w:kern w:val="0"/>
          <w:sz w:val="32"/>
          <w:szCs w:val="32"/>
        </w:rPr>
        <w:t>优先选择以下</w:t>
      </w:r>
      <w:r>
        <w:rPr>
          <w:rFonts w:hint="eastAsia" w:ascii="仿宋" w:hAnsi="仿宋" w:eastAsia="仿宋" w:cs="仿宋"/>
          <w:color w:val="000000"/>
          <w:kern w:val="0"/>
          <w:sz w:val="32"/>
          <w:szCs w:val="32"/>
          <w:lang w:val="en-US" w:eastAsia="zh-CN"/>
        </w:rPr>
        <w:t>四个</w:t>
      </w:r>
      <w:r>
        <w:rPr>
          <w:rFonts w:hint="eastAsia" w:ascii="仿宋" w:hAnsi="仿宋" w:eastAsia="仿宋" w:cs="仿宋"/>
          <w:color w:val="000000"/>
          <w:kern w:val="0"/>
          <w:sz w:val="32"/>
          <w:szCs w:val="32"/>
          <w:lang w:eastAsia="zh-CN"/>
        </w:rPr>
        <w:t>方面的重点领域</w:t>
      </w:r>
      <w:r>
        <w:rPr>
          <w:rFonts w:hint="eastAsia" w:ascii="仿宋" w:hAnsi="仿宋" w:eastAsia="仿宋" w:cs="仿宋"/>
          <w:color w:val="000000"/>
          <w:kern w:val="0"/>
          <w:sz w:val="32"/>
          <w:szCs w:val="32"/>
          <w:lang w:val="en-US" w:eastAsia="zh-CN"/>
        </w:rPr>
        <w:t>开展统计分析点工作</w:t>
      </w:r>
      <w:r>
        <w:rPr>
          <w:rFonts w:hint="eastAsia" w:ascii="仿宋" w:hAnsi="仿宋" w:eastAsia="仿宋" w:cs="仿宋"/>
          <w:color w:val="000000"/>
          <w:kern w:val="0"/>
          <w:sz w:val="32"/>
          <w:szCs w:val="32"/>
        </w:rPr>
        <w:t>：</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 w:hAnsi="仿宋" w:eastAsia="仿宋" w:cs="仿宋"/>
          <w:color w:val="000000"/>
          <w:kern w:val="0"/>
          <w:sz w:val="32"/>
          <w:szCs w:val="32"/>
          <w:lang w:val="en-US" w:eastAsia="zh-CN"/>
        </w:rPr>
      </w:pPr>
      <w:bookmarkStart w:id="0" w:name="_Hlk109585231"/>
      <w:r>
        <w:rPr>
          <w:rFonts w:hint="eastAsia" w:ascii="楷体" w:hAnsi="楷体" w:eastAsia="楷体" w:cs="楷体"/>
          <w:color w:val="000000"/>
          <w:kern w:val="0"/>
          <w:sz w:val="32"/>
          <w:szCs w:val="32"/>
          <w:lang w:val="en-US" w:eastAsia="zh-CN"/>
        </w:rPr>
        <w:t>（一）</w:t>
      </w:r>
      <w:r>
        <w:rPr>
          <w:rFonts w:hint="eastAsia" w:ascii="楷体" w:hAnsi="楷体" w:eastAsia="楷体" w:cs="楷体"/>
          <w:color w:val="000000"/>
          <w:kern w:val="0"/>
          <w:sz w:val="32"/>
          <w:szCs w:val="32"/>
        </w:rPr>
        <w:t>初级产品安全标准。</w:t>
      </w:r>
      <w:r>
        <w:rPr>
          <w:rFonts w:hint="eastAsia" w:ascii="仿宋" w:hAnsi="仿宋" w:eastAsia="仿宋" w:cs="仿宋"/>
          <w:color w:val="000000"/>
          <w:kern w:val="0"/>
          <w:sz w:val="32"/>
          <w:szCs w:val="32"/>
          <w:lang w:eastAsia="zh-CN"/>
        </w:rPr>
        <w:t>粮食安全、能源安全、矿产安全、</w:t>
      </w:r>
      <w:r>
        <w:rPr>
          <w:rFonts w:hint="eastAsia" w:ascii="仿宋" w:hAnsi="仿宋" w:eastAsia="仿宋" w:cs="仿宋"/>
          <w:color w:val="000000"/>
          <w:kern w:val="0"/>
          <w:sz w:val="32"/>
          <w:szCs w:val="32"/>
        </w:rPr>
        <w:t>种子（种苗）安全</w:t>
      </w:r>
      <w:r>
        <w:rPr>
          <w:rFonts w:hint="eastAsia" w:ascii="仿宋" w:hAnsi="仿宋" w:eastAsia="仿宋" w:cs="仿宋"/>
          <w:color w:val="000000"/>
          <w:kern w:val="0"/>
          <w:sz w:val="32"/>
          <w:szCs w:val="32"/>
          <w:lang w:eastAsia="zh-CN"/>
        </w:rPr>
        <w:t>等重点领域</w:t>
      </w:r>
      <w:r>
        <w:rPr>
          <w:rFonts w:hint="eastAsia" w:ascii="仿宋" w:hAnsi="仿宋" w:eastAsia="仿宋" w:cs="仿宋"/>
          <w:color w:val="000000"/>
          <w:kern w:val="0"/>
          <w:sz w:val="32"/>
          <w:szCs w:val="32"/>
        </w:rPr>
        <w:t>标准。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lang w:val="en-US" w:eastAsia="zh-CN"/>
        </w:rPr>
        <w:t>（二）</w:t>
      </w:r>
      <w:r>
        <w:rPr>
          <w:rFonts w:hint="eastAsia" w:ascii="楷体" w:hAnsi="楷体" w:eastAsia="楷体" w:cs="楷体"/>
          <w:color w:val="000000"/>
          <w:kern w:val="0"/>
          <w:sz w:val="32"/>
          <w:szCs w:val="32"/>
        </w:rPr>
        <w:t>工业产品安全标准。</w:t>
      </w:r>
      <w:r>
        <w:rPr>
          <w:rFonts w:hint="eastAsia" w:ascii="仿宋" w:hAnsi="仿宋" w:eastAsia="仿宋" w:cs="仿宋"/>
          <w:color w:val="000000"/>
          <w:kern w:val="0"/>
          <w:sz w:val="32"/>
          <w:szCs w:val="32"/>
        </w:rPr>
        <w:t>学生用品安全、</w:t>
      </w:r>
      <w:r>
        <w:rPr>
          <w:rFonts w:hint="eastAsia" w:ascii="仿宋" w:hAnsi="仿宋" w:eastAsia="仿宋" w:cs="仿宋"/>
          <w:color w:val="000000"/>
          <w:kern w:val="0"/>
          <w:sz w:val="32"/>
          <w:szCs w:val="32"/>
          <w:lang w:eastAsia="zh-CN"/>
        </w:rPr>
        <w:t>婴童用品、玩具、</w:t>
      </w:r>
      <w:r>
        <w:rPr>
          <w:rFonts w:hint="eastAsia" w:ascii="仿宋" w:hAnsi="仿宋" w:eastAsia="仿宋" w:cs="仿宋"/>
          <w:color w:val="000000"/>
          <w:kern w:val="0"/>
          <w:sz w:val="32"/>
          <w:szCs w:val="32"/>
        </w:rPr>
        <w:t>电动自行车及配件安全、家用电器、</w:t>
      </w:r>
      <w:r>
        <w:rPr>
          <w:rFonts w:hint="eastAsia" w:ascii="仿宋" w:hAnsi="仿宋" w:eastAsia="仿宋" w:cs="仿宋"/>
          <w:color w:val="000000"/>
          <w:kern w:val="0"/>
          <w:sz w:val="32"/>
          <w:szCs w:val="32"/>
          <w:lang w:eastAsia="zh-CN"/>
        </w:rPr>
        <w:t>服装、</w:t>
      </w:r>
      <w:r>
        <w:rPr>
          <w:rFonts w:hint="eastAsia" w:ascii="仿宋" w:hAnsi="仿宋" w:eastAsia="仿宋" w:cs="仿宋"/>
          <w:color w:val="000000"/>
          <w:kern w:val="0"/>
          <w:sz w:val="32"/>
          <w:szCs w:val="32"/>
        </w:rPr>
        <w:t>电子</w:t>
      </w:r>
      <w:r>
        <w:rPr>
          <w:rFonts w:hint="eastAsia" w:ascii="仿宋" w:hAnsi="仿宋" w:eastAsia="仿宋" w:cs="仿宋"/>
          <w:color w:val="000000"/>
          <w:kern w:val="0"/>
          <w:sz w:val="32"/>
          <w:szCs w:val="32"/>
          <w:lang w:eastAsia="zh-CN"/>
        </w:rPr>
        <w:t>产品</w:t>
      </w:r>
      <w:r>
        <w:rPr>
          <w:rFonts w:hint="eastAsia" w:ascii="仿宋" w:hAnsi="仿宋" w:eastAsia="仿宋" w:cs="仿宋"/>
          <w:color w:val="000000"/>
          <w:kern w:val="0"/>
          <w:sz w:val="32"/>
          <w:szCs w:val="32"/>
        </w:rPr>
        <w:t>、工业自动化产品</w:t>
      </w:r>
      <w:r>
        <w:rPr>
          <w:rFonts w:hint="eastAsia" w:ascii="仿宋" w:hAnsi="仿宋" w:eastAsia="仿宋" w:cs="仿宋"/>
          <w:color w:val="000000"/>
          <w:kern w:val="0"/>
          <w:sz w:val="32"/>
          <w:szCs w:val="32"/>
          <w:lang w:eastAsia="zh-CN"/>
        </w:rPr>
        <w:t>、道路车辆、家居建材、饲料</w:t>
      </w:r>
      <w:r>
        <w:rPr>
          <w:rFonts w:hint="eastAsia" w:ascii="仿宋" w:hAnsi="仿宋" w:eastAsia="仿宋" w:cs="仿宋"/>
          <w:color w:val="000000"/>
          <w:kern w:val="0"/>
          <w:sz w:val="32"/>
          <w:szCs w:val="32"/>
        </w:rPr>
        <w:t>等</w:t>
      </w:r>
      <w:r>
        <w:rPr>
          <w:rFonts w:hint="eastAsia" w:ascii="仿宋" w:hAnsi="仿宋" w:eastAsia="仿宋" w:cs="仿宋"/>
          <w:color w:val="000000"/>
          <w:kern w:val="0"/>
          <w:sz w:val="32"/>
          <w:szCs w:val="32"/>
          <w:lang w:eastAsia="zh-CN"/>
        </w:rPr>
        <w:t>重点领域</w:t>
      </w:r>
      <w:r>
        <w:rPr>
          <w:rFonts w:hint="eastAsia" w:ascii="仿宋" w:hAnsi="仿宋" w:eastAsia="仿宋" w:cs="仿宋"/>
          <w:color w:val="000000"/>
          <w:kern w:val="0"/>
          <w:sz w:val="32"/>
          <w:szCs w:val="32"/>
        </w:rPr>
        <w:t>标准。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lang w:val="en-US" w:eastAsia="zh-CN"/>
        </w:rPr>
        <w:t>（三）</w:t>
      </w:r>
      <w:r>
        <w:rPr>
          <w:rFonts w:hint="eastAsia" w:ascii="楷体" w:hAnsi="楷体" w:eastAsia="楷体" w:cs="楷体"/>
          <w:color w:val="000000"/>
          <w:kern w:val="0"/>
          <w:sz w:val="32"/>
          <w:szCs w:val="32"/>
        </w:rPr>
        <w:t>资源环境安全标准。</w:t>
      </w:r>
      <w:r>
        <w:rPr>
          <w:rFonts w:hint="eastAsia" w:ascii="仿宋" w:hAnsi="仿宋" w:eastAsia="仿宋" w:cs="仿宋"/>
          <w:color w:val="000000"/>
          <w:kern w:val="0"/>
          <w:sz w:val="32"/>
          <w:szCs w:val="32"/>
        </w:rPr>
        <w:t>限制</w:t>
      </w:r>
      <w:r>
        <w:rPr>
          <w:rFonts w:hint="eastAsia" w:ascii="仿宋" w:hAnsi="仿宋" w:eastAsia="仿宋" w:cs="仿宋"/>
          <w:color w:val="000000"/>
          <w:kern w:val="0"/>
          <w:sz w:val="32"/>
          <w:szCs w:val="32"/>
          <w:lang w:eastAsia="zh-CN"/>
        </w:rPr>
        <w:t>商品</w:t>
      </w:r>
      <w:r>
        <w:rPr>
          <w:rFonts w:hint="eastAsia" w:ascii="仿宋" w:hAnsi="仿宋" w:eastAsia="仿宋" w:cs="仿宋"/>
          <w:color w:val="000000"/>
          <w:kern w:val="0"/>
          <w:sz w:val="32"/>
          <w:szCs w:val="32"/>
        </w:rPr>
        <w:t>过度包装、终端用能</w:t>
      </w:r>
      <w:r>
        <w:rPr>
          <w:rFonts w:hint="eastAsia" w:ascii="仿宋" w:hAnsi="仿宋" w:eastAsia="仿宋" w:cs="仿宋"/>
          <w:color w:val="000000"/>
          <w:kern w:val="0"/>
          <w:sz w:val="32"/>
          <w:szCs w:val="32"/>
          <w:lang w:eastAsia="zh-CN"/>
        </w:rPr>
        <w:t>用水</w:t>
      </w:r>
      <w:r>
        <w:rPr>
          <w:rFonts w:hint="eastAsia" w:ascii="仿宋" w:hAnsi="仿宋" w:eastAsia="仿宋" w:cs="仿宋"/>
          <w:color w:val="000000"/>
          <w:kern w:val="0"/>
          <w:sz w:val="32"/>
          <w:szCs w:val="32"/>
        </w:rPr>
        <w:t>产品能效</w:t>
      </w:r>
      <w:r>
        <w:rPr>
          <w:rFonts w:hint="eastAsia" w:ascii="仿宋" w:hAnsi="仿宋" w:eastAsia="仿宋" w:cs="仿宋"/>
          <w:color w:val="000000"/>
          <w:kern w:val="0"/>
          <w:sz w:val="32"/>
          <w:szCs w:val="32"/>
          <w:lang w:eastAsia="zh-CN"/>
        </w:rPr>
        <w:t>水效、能耗限额</w:t>
      </w:r>
      <w:r>
        <w:rPr>
          <w:rFonts w:hint="eastAsia" w:ascii="仿宋" w:hAnsi="仿宋" w:eastAsia="仿宋" w:cs="仿宋"/>
          <w:color w:val="000000"/>
          <w:kern w:val="0"/>
          <w:sz w:val="32"/>
          <w:szCs w:val="32"/>
        </w:rPr>
        <w:t>等</w:t>
      </w:r>
      <w:r>
        <w:rPr>
          <w:rFonts w:hint="eastAsia" w:ascii="仿宋" w:hAnsi="仿宋" w:eastAsia="仿宋" w:cs="仿宋"/>
          <w:color w:val="000000"/>
          <w:kern w:val="0"/>
          <w:sz w:val="32"/>
          <w:szCs w:val="32"/>
          <w:lang w:eastAsia="zh-CN"/>
        </w:rPr>
        <w:t>重点领域</w:t>
      </w:r>
      <w:r>
        <w:rPr>
          <w:rFonts w:hint="eastAsia" w:ascii="仿宋" w:hAnsi="仿宋" w:eastAsia="仿宋" w:cs="仿宋"/>
          <w:color w:val="000000"/>
          <w:kern w:val="0"/>
          <w:sz w:val="32"/>
          <w:szCs w:val="32"/>
        </w:rPr>
        <w:t>标准。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 w:hAnsi="仿宋" w:eastAsia="仿宋" w:cs="仿宋"/>
          <w:color w:val="000000"/>
          <w:kern w:val="0"/>
          <w:sz w:val="32"/>
          <w:szCs w:val="32"/>
        </w:rPr>
      </w:pPr>
      <w:r>
        <w:rPr>
          <w:rFonts w:hint="eastAsia" w:ascii="楷体" w:hAnsi="楷体" w:eastAsia="楷体" w:cs="楷体"/>
          <w:color w:val="000000"/>
          <w:kern w:val="0"/>
          <w:sz w:val="32"/>
          <w:szCs w:val="32"/>
          <w:lang w:val="en-US" w:eastAsia="zh-CN"/>
        </w:rPr>
        <w:t>（四）</w:t>
      </w:r>
      <w:r>
        <w:rPr>
          <w:rFonts w:hint="eastAsia" w:ascii="楷体" w:hAnsi="楷体" w:eastAsia="楷体" w:cs="楷体"/>
          <w:color w:val="000000"/>
          <w:kern w:val="0"/>
          <w:sz w:val="32"/>
          <w:szCs w:val="32"/>
        </w:rPr>
        <w:t>社会管理</w:t>
      </w:r>
      <w:r>
        <w:rPr>
          <w:rFonts w:hint="eastAsia" w:ascii="楷体" w:hAnsi="楷体" w:eastAsia="楷体" w:cs="楷体"/>
          <w:color w:val="000000"/>
          <w:kern w:val="0"/>
          <w:sz w:val="32"/>
          <w:szCs w:val="32"/>
          <w:lang w:eastAsia="zh-CN"/>
        </w:rPr>
        <w:t>和</w:t>
      </w:r>
      <w:r>
        <w:rPr>
          <w:rFonts w:hint="eastAsia" w:ascii="楷体" w:hAnsi="楷体" w:eastAsia="楷体" w:cs="楷体"/>
          <w:color w:val="000000"/>
          <w:kern w:val="0"/>
          <w:sz w:val="32"/>
          <w:szCs w:val="32"/>
        </w:rPr>
        <w:t>公共安全标准。</w:t>
      </w:r>
      <w:r>
        <w:rPr>
          <w:rFonts w:hint="eastAsia" w:ascii="仿宋" w:hAnsi="仿宋" w:eastAsia="仿宋" w:cs="仿宋"/>
          <w:color w:val="000000"/>
          <w:kern w:val="0"/>
          <w:sz w:val="32"/>
          <w:szCs w:val="32"/>
          <w:lang w:eastAsia="zh-CN"/>
        </w:rPr>
        <w:t>安全生产、消防、个体防护装备、</w:t>
      </w:r>
      <w:r>
        <w:rPr>
          <w:rFonts w:hint="eastAsia" w:ascii="仿宋" w:hAnsi="仿宋" w:eastAsia="仿宋" w:cs="仿宋"/>
          <w:color w:val="000000"/>
          <w:kern w:val="0"/>
          <w:sz w:val="32"/>
          <w:szCs w:val="32"/>
        </w:rPr>
        <w:t>危险化学品</w:t>
      </w:r>
      <w:r>
        <w:rPr>
          <w:rFonts w:hint="eastAsia" w:ascii="仿宋" w:hAnsi="仿宋" w:eastAsia="仿宋" w:cs="仿宋"/>
          <w:color w:val="000000"/>
          <w:kern w:val="0"/>
          <w:sz w:val="32"/>
          <w:szCs w:val="32"/>
          <w:lang w:eastAsia="zh-CN"/>
        </w:rPr>
        <w:t>管理、道路交通管理、运输安全作业</w:t>
      </w:r>
      <w:r>
        <w:rPr>
          <w:rFonts w:hint="eastAsia" w:ascii="仿宋" w:hAnsi="仿宋" w:eastAsia="仿宋" w:cs="仿宋"/>
          <w:color w:val="000000"/>
          <w:kern w:val="0"/>
          <w:sz w:val="32"/>
          <w:szCs w:val="32"/>
        </w:rPr>
        <w:t>等</w:t>
      </w:r>
      <w:r>
        <w:rPr>
          <w:rFonts w:hint="eastAsia" w:ascii="仿宋" w:hAnsi="仿宋" w:eastAsia="仿宋" w:cs="仿宋"/>
          <w:color w:val="000000"/>
          <w:kern w:val="0"/>
          <w:sz w:val="32"/>
          <w:szCs w:val="32"/>
          <w:lang w:eastAsia="zh-CN"/>
        </w:rPr>
        <w:t>重点领域</w:t>
      </w:r>
      <w:r>
        <w:rPr>
          <w:rFonts w:hint="eastAsia" w:ascii="仿宋" w:hAnsi="仿宋" w:eastAsia="仿宋" w:cs="仿宋"/>
          <w:color w:val="000000"/>
          <w:kern w:val="0"/>
          <w:sz w:val="32"/>
          <w:szCs w:val="32"/>
        </w:rPr>
        <w:t>标准。</w:t>
      </w:r>
    </w:p>
    <w:bookmarkEnd w:id="0"/>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lang w:eastAsia="zh-CN"/>
        </w:rPr>
        <w:t>三、</w:t>
      </w:r>
      <w:r>
        <w:rPr>
          <w:rFonts w:hint="eastAsia" w:ascii="Times New Roman" w:hAnsi="Times New Roman" w:eastAsia="黑体" w:cs="Times New Roman"/>
          <w:sz w:val="32"/>
          <w:szCs w:val="32"/>
        </w:rPr>
        <w:t>建设任务</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_GB2312" w:hAnsi="仿宋_GB2312" w:eastAsia="仿宋" w:cs="仿宋_GB2312"/>
          <w:color w:val="000000"/>
          <w:kern w:val="0"/>
          <w:sz w:val="32"/>
          <w:szCs w:val="32"/>
          <w:lang w:eastAsia="zh-CN"/>
        </w:rPr>
      </w:pPr>
      <w:r>
        <w:rPr>
          <w:rFonts w:hint="eastAsia" w:ascii="楷体" w:hAnsi="楷体" w:eastAsia="楷体" w:cs="楷体"/>
          <w:color w:val="000000"/>
          <w:kern w:val="0"/>
          <w:sz w:val="32"/>
          <w:szCs w:val="32"/>
          <w:lang w:eastAsia="zh-CN"/>
        </w:rPr>
        <w:t>（一）全面获取标准实施数据</w:t>
      </w:r>
      <w:r>
        <w:rPr>
          <w:rFonts w:hint="eastAsia" w:ascii="仿宋_GB2312" w:hAnsi="仿宋_GB2312" w:eastAsia="仿宋_GB2312" w:cs="仿宋_GB2312"/>
          <w:color w:val="000000"/>
          <w:kern w:val="0"/>
          <w:sz w:val="32"/>
          <w:szCs w:val="32"/>
        </w:rPr>
        <w:t>。</w:t>
      </w:r>
      <w:r>
        <w:rPr>
          <w:rFonts w:hint="eastAsia" w:ascii="Times New Roman" w:hAnsi="Times New Roman" w:eastAsia="仿宋" w:cs="宋体"/>
          <w:color w:val="000000"/>
          <w:kern w:val="0"/>
          <w:sz w:val="32"/>
          <w:szCs w:val="32"/>
        </w:rPr>
        <w:t>围绕重点领域和标准项目，面向企业、消费者、行业协会、认证检测机构、</w:t>
      </w:r>
      <w:r>
        <w:rPr>
          <w:rFonts w:hint="eastAsia" w:ascii="Times New Roman" w:hAnsi="Times New Roman" w:eastAsia="仿宋" w:cs="宋体"/>
          <w:color w:val="000000"/>
          <w:kern w:val="0"/>
          <w:sz w:val="32"/>
          <w:szCs w:val="32"/>
          <w:lang w:val="en-US" w:eastAsia="zh-CN"/>
        </w:rPr>
        <w:t>全国专业</w:t>
      </w:r>
      <w:r>
        <w:rPr>
          <w:rFonts w:hint="eastAsia" w:ascii="Times New Roman" w:hAnsi="Times New Roman" w:eastAsia="仿宋" w:cs="宋体"/>
          <w:color w:val="000000"/>
          <w:kern w:val="0"/>
          <w:sz w:val="32"/>
          <w:szCs w:val="32"/>
        </w:rPr>
        <w:t>标准化技术委员会等标准实施相关方，通过问卷调查、座谈会、现场调研、产品检测、数据库检索、网络舆情监测</w:t>
      </w:r>
      <w:r>
        <w:rPr>
          <w:rFonts w:hint="eastAsia" w:ascii="Times New Roman" w:hAnsi="Times New Roman" w:eastAsia="仿宋" w:cs="宋体"/>
          <w:color w:val="000000"/>
          <w:kern w:val="0"/>
          <w:sz w:val="32"/>
          <w:szCs w:val="32"/>
          <w:lang w:eastAsia="zh-CN"/>
        </w:rPr>
        <w:t>、企业标准监督检查</w:t>
      </w:r>
      <w:r>
        <w:rPr>
          <w:rFonts w:hint="eastAsia" w:ascii="Times New Roman" w:hAnsi="Times New Roman" w:eastAsia="仿宋" w:cs="宋体"/>
          <w:color w:val="000000"/>
          <w:kern w:val="0"/>
          <w:sz w:val="32"/>
          <w:szCs w:val="32"/>
        </w:rPr>
        <w:t>等多种方式，收集强制性国家标准实施信息和数据</w:t>
      </w:r>
      <w:r>
        <w:rPr>
          <w:rFonts w:hint="eastAsia" w:ascii="Times New Roman" w:hAnsi="Times New Roman" w:eastAsia="仿宋" w:cs="宋体"/>
          <w:color w:val="000000"/>
          <w:kern w:val="0"/>
          <w:sz w:val="32"/>
          <w:szCs w:val="32"/>
          <w:lang w:eastAsia="zh-CN"/>
        </w:rPr>
        <w:t>，建立标准实施数据库，</w:t>
      </w:r>
      <w:r>
        <w:rPr>
          <w:rFonts w:hint="eastAsia" w:ascii="Times New Roman" w:hAnsi="Times New Roman" w:eastAsia="仿宋" w:cs="宋体"/>
          <w:color w:val="000000"/>
          <w:kern w:val="0"/>
          <w:sz w:val="32"/>
          <w:szCs w:val="32"/>
          <w:lang w:val="en-US" w:eastAsia="zh-CN"/>
        </w:rPr>
        <w:t>为统计分析工作提供数据支持</w:t>
      </w:r>
      <w:r>
        <w:rPr>
          <w:rFonts w:hint="eastAsia" w:ascii="Times New Roman" w:hAnsi="Times New Roman" w:eastAsia="仿宋" w:cs="宋体"/>
          <w:color w:val="000000"/>
          <w:kern w:val="0"/>
          <w:sz w:val="32"/>
          <w:szCs w:val="32"/>
        </w:rPr>
        <w:t>。</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rPr>
      </w:pPr>
      <w:r>
        <w:rPr>
          <w:rFonts w:hint="eastAsia" w:ascii="楷体" w:hAnsi="楷体" w:eastAsia="楷体" w:cs="楷体"/>
          <w:color w:val="000000"/>
          <w:kern w:val="0"/>
          <w:sz w:val="32"/>
          <w:szCs w:val="32"/>
          <w:lang w:eastAsia="zh-CN"/>
        </w:rPr>
        <w:t>（二）科学确定统计分析指标。</w:t>
      </w:r>
      <w:r>
        <w:rPr>
          <w:rFonts w:hint="eastAsia" w:ascii="Times New Roman" w:hAnsi="Times New Roman" w:eastAsia="仿宋" w:cs="宋体"/>
          <w:color w:val="000000"/>
          <w:kern w:val="0"/>
          <w:sz w:val="32"/>
          <w:szCs w:val="32"/>
          <w:lang w:eastAsia="zh-CN"/>
        </w:rPr>
        <w:t>充分考虑不同行业、不同领域标准的差异性，采取定性和定量相结合的方法，科学选取标准实施统计分析指标，编制标准实施统计分析方案，力求客观反映标准实施的成效和存在的问题。统计分析内容包括但不限于总体执行情况、标准实施效益、宣贯培训情况、达标难点和制约因素、标准适用性和协调性等方面的指标。</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楷体" w:hAnsi="楷体" w:eastAsia="楷体" w:cs="楷体"/>
          <w:color w:val="000000"/>
          <w:kern w:val="0"/>
          <w:sz w:val="32"/>
          <w:szCs w:val="32"/>
          <w:lang w:eastAsia="zh-CN"/>
        </w:rPr>
        <w:t>（三）定期编制和报送统计分析报告。</w:t>
      </w:r>
      <w:r>
        <w:rPr>
          <w:rFonts w:hint="eastAsia" w:ascii="Times New Roman" w:hAnsi="Times New Roman" w:eastAsia="仿宋" w:cs="宋体"/>
          <w:color w:val="000000"/>
          <w:kern w:val="0"/>
          <w:sz w:val="32"/>
          <w:szCs w:val="32"/>
          <w:lang w:eastAsia="zh-CN"/>
        </w:rPr>
        <w:t>依据统计分析方案和数据，按年度编制重点标准实施情况统计分析报告，报告内容主要包括强制性国家标准实施情况总体评估以及具体实施效果、存在的问题、改进建议等。对于日常发现的突出效益、典型案例、重大问题、重要情况、重点需求等</w:t>
      </w:r>
      <w:r>
        <w:rPr>
          <w:rFonts w:hint="eastAsia" w:ascii="Times New Roman" w:hAnsi="Times New Roman" w:eastAsia="仿宋" w:cs="宋体"/>
          <w:color w:val="000000"/>
          <w:kern w:val="0"/>
          <w:sz w:val="32"/>
          <w:szCs w:val="32"/>
          <w:lang w:val="en-US" w:eastAsia="zh-CN"/>
        </w:rPr>
        <w:t>应</w:t>
      </w:r>
      <w:r>
        <w:rPr>
          <w:rFonts w:hint="eastAsia" w:ascii="Times New Roman" w:hAnsi="Times New Roman" w:eastAsia="仿宋" w:cs="宋体"/>
          <w:color w:val="000000"/>
          <w:kern w:val="0"/>
          <w:sz w:val="32"/>
          <w:szCs w:val="32"/>
          <w:lang w:eastAsia="zh-CN"/>
        </w:rPr>
        <w:t>及时报送标准委。</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楷体" w:hAnsi="楷体" w:eastAsia="楷体" w:cs="楷体"/>
          <w:color w:val="000000"/>
          <w:kern w:val="0"/>
          <w:sz w:val="32"/>
          <w:szCs w:val="32"/>
          <w:lang w:eastAsia="zh-CN"/>
        </w:rPr>
        <w:t>（四）开展标准化服务。</w:t>
      </w:r>
      <w:r>
        <w:rPr>
          <w:rFonts w:hint="eastAsia" w:ascii="Times New Roman" w:hAnsi="Times New Roman" w:eastAsia="仿宋" w:cs="宋体"/>
          <w:color w:val="000000"/>
          <w:kern w:val="0"/>
          <w:sz w:val="32"/>
          <w:szCs w:val="32"/>
          <w:lang w:eastAsia="zh-CN"/>
        </w:rPr>
        <w:t>围绕统计分析点所在领域，根据行业需求或产业集聚区发展需求，对统计分析中所反映的共性问题，组织开展标准信息服务、标准宣贯培训、达标能力提升服务、标准体系建设、标准符合性验证等服务活动。对企业面临的个性问题，提供定制化解决方案，助力企业达标。</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楷体" w:hAnsi="楷体" w:eastAsia="楷体" w:cs="楷体"/>
          <w:color w:val="000000"/>
          <w:kern w:val="0"/>
          <w:sz w:val="32"/>
          <w:szCs w:val="32"/>
          <w:lang w:eastAsia="zh-CN"/>
        </w:rPr>
        <w:t>（五）持续提升统计分析能力。</w:t>
      </w:r>
      <w:r>
        <w:rPr>
          <w:rFonts w:hint="eastAsia" w:ascii="Times New Roman" w:hAnsi="Times New Roman" w:eastAsia="仿宋" w:cs="宋体"/>
          <w:color w:val="000000"/>
          <w:kern w:val="0"/>
          <w:sz w:val="32"/>
          <w:szCs w:val="32"/>
          <w:lang w:eastAsia="zh-CN"/>
        </w:rPr>
        <w:t>各统计分析点应建立健全管理制度和机制，完善数据收集、数据质量控制、数据分析、报告编制等方面的管理规范。鼓励搭建重点领域数据获取的信息化、智能化平台，持续监测来自监管、生产、流通、消费、检测、认证、舆情等各方数据。建立重点标准实施专家库，为标准实施统计分析工作提供支持。</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四</w:t>
      </w:r>
      <w:r>
        <w:rPr>
          <w:rFonts w:hint="eastAsia" w:ascii="Times New Roman" w:hAnsi="Times New Roman" w:eastAsia="黑体" w:cs="Times New Roman"/>
          <w:sz w:val="32"/>
          <w:szCs w:val="32"/>
        </w:rPr>
        <w:t>、</w:t>
      </w:r>
      <w:r>
        <w:rPr>
          <w:rFonts w:hint="eastAsia" w:ascii="Times New Roman" w:hAnsi="Times New Roman" w:eastAsia="黑体" w:cs="Times New Roman"/>
          <w:sz w:val="32"/>
          <w:szCs w:val="32"/>
          <w:lang w:eastAsia="zh-CN"/>
        </w:rPr>
        <w:t>申报条件</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val="en-US" w:eastAsia="zh-CN"/>
        </w:rPr>
      </w:pPr>
      <w:r>
        <w:rPr>
          <w:rFonts w:hint="eastAsia" w:ascii="Times New Roman" w:hAnsi="Times New Roman" w:eastAsia="仿宋" w:cs="宋体"/>
          <w:color w:val="000000"/>
          <w:kern w:val="0"/>
          <w:sz w:val="32"/>
          <w:szCs w:val="32"/>
          <w:lang w:val="en-US" w:eastAsia="zh-CN"/>
        </w:rPr>
        <w:t>承担统计分析点建设的机构可以为标准化机构、检验检测机构、认证机构、执法机构、科研院所、规划设计机构、行业协会、平台企业等。申报单位应满足以下条件：</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Times New Roman" w:hAnsi="Times New Roman" w:eastAsia="仿宋" w:cs="宋体"/>
          <w:color w:val="000000"/>
          <w:kern w:val="0"/>
          <w:sz w:val="32"/>
          <w:szCs w:val="32"/>
          <w:lang w:eastAsia="zh-CN"/>
        </w:rPr>
        <w:t>（一）具备独立法人资格，能为统计分析点建设工作提供必要的办公条件及经费支持。</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Times New Roman" w:hAnsi="Times New Roman" w:eastAsia="仿宋" w:cs="宋体"/>
          <w:color w:val="000000"/>
          <w:kern w:val="0"/>
          <w:sz w:val="32"/>
          <w:szCs w:val="32"/>
          <w:lang w:eastAsia="zh-CN"/>
        </w:rPr>
        <w:t>（二）在本行业、地区具有较强影响力，具有较为扎实的标准化基础和较为丰富的标准化工作经验，或具有较为丰富的政策法规制定、实施监督的经验，开展标准化相关工作</w:t>
      </w:r>
      <w:r>
        <w:rPr>
          <w:rFonts w:hint="default" w:ascii="Times New Roman" w:hAnsi="Times New Roman" w:eastAsia="仿宋" w:cs="宋体"/>
          <w:color w:val="000000"/>
          <w:kern w:val="0"/>
          <w:sz w:val="32"/>
          <w:szCs w:val="32"/>
          <w:lang w:val="en-US" w:eastAsia="zh-CN"/>
        </w:rPr>
        <w:t>5</w:t>
      </w:r>
      <w:r>
        <w:rPr>
          <w:rFonts w:hint="eastAsia" w:ascii="Times New Roman" w:hAnsi="Times New Roman" w:eastAsia="仿宋" w:cs="宋体"/>
          <w:color w:val="000000"/>
          <w:kern w:val="0"/>
          <w:sz w:val="32"/>
          <w:szCs w:val="32"/>
          <w:lang w:eastAsia="zh-CN"/>
        </w:rPr>
        <w:t>年以上。具有充足的人员，至少有</w:t>
      </w:r>
      <w:r>
        <w:rPr>
          <w:rFonts w:hint="default" w:ascii="Times New Roman" w:hAnsi="Times New Roman" w:eastAsia="仿宋" w:cs="宋体"/>
          <w:color w:val="000000"/>
          <w:kern w:val="0"/>
          <w:sz w:val="32"/>
          <w:szCs w:val="32"/>
          <w:lang w:eastAsia="zh-CN"/>
        </w:rPr>
        <w:t>2</w:t>
      </w:r>
      <w:r>
        <w:rPr>
          <w:rFonts w:hint="eastAsia" w:ascii="Times New Roman" w:hAnsi="Times New Roman" w:eastAsia="仿宋" w:cs="宋体"/>
          <w:color w:val="000000"/>
          <w:kern w:val="0"/>
          <w:sz w:val="32"/>
          <w:szCs w:val="32"/>
          <w:lang w:eastAsia="zh-CN"/>
        </w:rPr>
        <w:t>名以上专职标准化工作人员，其中主要技术负责人具有高级职称。</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Times New Roman" w:hAnsi="Times New Roman" w:eastAsia="仿宋" w:cs="宋体"/>
          <w:color w:val="000000"/>
          <w:kern w:val="0"/>
          <w:sz w:val="32"/>
          <w:szCs w:val="32"/>
          <w:lang w:eastAsia="zh-CN"/>
        </w:rPr>
        <w:t>（三）具备开展标准编制、标准实施宣贯培训、标准实施评估等标准化支撑服务能力。</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Times New Roman" w:hAnsi="Times New Roman" w:eastAsia="仿宋" w:cs="宋体"/>
          <w:color w:val="000000"/>
          <w:kern w:val="0"/>
          <w:sz w:val="32"/>
          <w:szCs w:val="32"/>
          <w:lang w:val="en-US" w:eastAsia="zh-CN"/>
        </w:rPr>
        <w:t>（四）</w:t>
      </w:r>
      <w:r>
        <w:rPr>
          <w:rFonts w:hint="eastAsia" w:ascii="Times New Roman" w:hAnsi="Times New Roman" w:eastAsia="仿宋" w:cs="宋体"/>
          <w:color w:val="000000"/>
          <w:kern w:val="0"/>
          <w:sz w:val="32"/>
          <w:szCs w:val="32"/>
          <w:lang w:eastAsia="zh-CN"/>
        </w:rPr>
        <w:t>具有获取标准实施数据的渠道和分析处理数据的能力。拥有重点行业或领域标准实施数据的机构优先。产业聚集或产业集中度较高地方的技术机构优先。</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ascii="Times New Roman" w:hAnsi="Times New Roman" w:eastAsia="黑体"/>
          <w:color w:val="070707"/>
          <w:sz w:val="32"/>
          <w:szCs w:val="32"/>
        </w:rPr>
      </w:pPr>
      <w:r>
        <w:rPr>
          <w:rFonts w:hint="eastAsia" w:ascii="Times New Roman" w:hAnsi="Times New Roman" w:eastAsia="黑体"/>
          <w:color w:val="070707"/>
          <w:sz w:val="32"/>
          <w:szCs w:val="32"/>
          <w:lang w:eastAsia="zh-CN"/>
        </w:rPr>
        <w:t>五</w:t>
      </w:r>
      <w:r>
        <w:rPr>
          <w:rFonts w:hint="eastAsia" w:ascii="Times New Roman" w:hAnsi="Times New Roman" w:eastAsia="黑体"/>
          <w:color w:val="070707"/>
          <w:sz w:val="32"/>
          <w:szCs w:val="32"/>
        </w:rPr>
        <w:t>、</w:t>
      </w:r>
      <w:r>
        <w:rPr>
          <w:rFonts w:hint="eastAsia" w:ascii="Times New Roman" w:hAnsi="Times New Roman" w:eastAsia="黑体"/>
          <w:color w:val="070707"/>
          <w:sz w:val="32"/>
          <w:szCs w:val="32"/>
          <w:lang w:eastAsia="zh-CN"/>
        </w:rPr>
        <w:t>申报</w:t>
      </w:r>
      <w:r>
        <w:rPr>
          <w:rFonts w:hint="eastAsia" w:ascii="Times New Roman" w:hAnsi="Times New Roman" w:eastAsia="黑体"/>
          <w:color w:val="070707"/>
          <w:sz w:val="32"/>
          <w:szCs w:val="32"/>
        </w:rPr>
        <w:t>程序</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sz w:val="32"/>
          <w:szCs w:val="32"/>
        </w:rPr>
      </w:pPr>
      <w:r>
        <w:rPr>
          <w:rFonts w:hint="eastAsia" w:ascii="楷体" w:hAnsi="楷体" w:eastAsia="楷体" w:cs="楷体"/>
          <w:color w:val="000000"/>
          <w:kern w:val="0"/>
          <w:sz w:val="32"/>
          <w:szCs w:val="32"/>
          <w:lang w:eastAsia="zh-CN"/>
        </w:rPr>
        <w:t>（一）组织申报。</w:t>
      </w:r>
      <w:r>
        <w:rPr>
          <w:rFonts w:hint="eastAsia" w:ascii="Times New Roman" w:hAnsi="Times New Roman" w:eastAsia="仿宋"/>
          <w:sz w:val="32"/>
          <w:szCs w:val="32"/>
        </w:rPr>
        <w:t>按照自愿原则，</w:t>
      </w:r>
      <w:r>
        <w:rPr>
          <w:rFonts w:hint="eastAsia" w:ascii="Times New Roman" w:hAnsi="Times New Roman" w:eastAsia="仿宋"/>
          <w:sz w:val="32"/>
          <w:szCs w:val="32"/>
          <w:lang w:eastAsia="zh-CN"/>
        </w:rPr>
        <w:t>根据本指南确定的申报范围，</w:t>
      </w:r>
      <w:r>
        <w:rPr>
          <w:rFonts w:hint="eastAsia" w:ascii="Times New Roman" w:hAnsi="Times New Roman" w:eastAsia="仿宋"/>
          <w:sz w:val="32"/>
          <w:szCs w:val="32"/>
        </w:rPr>
        <w:t>满足申报条件的</w:t>
      </w:r>
      <w:r>
        <w:rPr>
          <w:rFonts w:hint="eastAsia" w:ascii="Times New Roman" w:hAnsi="Times New Roman" w:eastAsia="仿宋"/>
          <w:sz w:val="32"/>
          <w:szCs w:val="32"/>
          <w:lang w:eastAsia="zh-CN"/>
        </w:rPr>
        <w:t>单位可单独申报，也可联合其他单位以联合体形式申报。</w:t>
      </w:r>
      <w:r>
        <w:rPr>
          <w:rFonts w:hint="eastAsia" w:ascii="Times New Roman" w:hAnsi="Times New Roman" w:eastAsia="仿宋"/>
          <w:sz w:val="32"/>
          <w:szCs w:val="32"/>
        </w:rPr>
        <w:t>地方机构向所在</w:t>
      </w:r>
      <w:r>
        <w:rPr>
          <w:rFonts w:hint="eastAsia" w:ascii="Times New Roman" w:hAnsi="Times New Roman" w:eastAsia="仿宋"/>
          <w:sz w:val="32"/>
          <w:szCs w:val="32"/>
          <w:lang w:eastAsia="zh-CN"/>
        </w:rPr>
        <w:t>省（自治区、直辖市）标准化行政主管</w:t>
      </w:r>
      <w:r>
        <w:rPr>
          <w:rFonts w:hint="eastAsia" w:ascii="Times New Roman" w:hAnsi="Times New Roman" w:eastAsia="仿宋"/>
          <w:sz w:val="32"/>
          <w:szCs w:val="32"/>
        </w:rPr>
        <w:t>部门</w:t>
      </w:r>
      <w:r>
        <w:rPr>
          <w:rFonts w:hint="eastAsia" w:ascii="Times New Roman" w:hAnsi="Times New Roman" w:eastAsia="仿宋"/>
          <w:sz w:val="32"/>
          <w:szCs w:val="32"/>
          <w:lang w:eastAsia="zh-CN"/>
        </w:rPr>
        <w:t>（推荐单位）</w:t>
      </w:r>
      <w:r>
        <w:rPr>
          <w:rFonts w:hint="eastAsia" w:ascii="Times New Roman" w:hAnsi="Times New Roman" w:eastAsia="仿宋"/>
          <w:sz w:val="32"/>
          <w:szCs w:val="32"/>
        </w:rPr>
        <w:t>提出申请，行业</w:t>
      </w:r>
      <w:r>
        <w:rPr>
          <w:rFonts w:hint="eastAsia" w:ascii="Times New Roman" w:hAnsi="Times New Roman" w:eastAsia="仿宋"/>
          <w:sz w:val="32"/>
          <w:szCs w:val="32"/>
          <w:lang w:eastAsia="zh-CN"/>
        </w:rPr>
        <w:t>机构</w:t>
      </w:r>
      <w:r>
        <w:rPr>
          <w:rFonts w:hint="eastAsia" w:ascii="Times New Roman" w:hAnsi="Times New Roman" w:eastAsia="仿宋"/>
          <w:sz w:val="32"/>
          <w:szCs w:val="32"/>
        </w:rPr>
        <w:t>向</w:t>
      </w:r>
      <w:r>
        <w:rPr>
          <w:rFonts w:hint="eastAsia" w:ascii="Times New Roman" w:hAnsi="Times New Roman" w:eastAsia="仿宋"/>
          <w:sz w:val="32"/>
          <w:szCs w:val="32"/>
          <w:lang w:eastAsia="zh-CN"/>
        </w:rPr>
        <w:t>国务院有关行政主管部门（推荐单位）</w:t>
      </w:r>
      <w:r>
        <w:rPr>
          <w:rFonts w:hint="eastAsia" w:ascii="Times New Roman" w:hAnsi="Times New Roman" w:eastAsia="仿宋"/>
          <w:sz w:val="32"/>
          <w:szCs w:val="32"/>
        </w:rPr>
        <w:t>提出申请，按要求准备统计分析点项目申报书</w:t>
      </w: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w:t>
      </w:r>
      <w:r>
        <w:rPr>
          <w:rFonts w:hint="eastAsia" w:ascii="Times New Roman" w:hAnsi="Times New Roman" w:eastAsia="仿宋"/>
          <w:sz w:val="32"/>
          <w:szCs w:val="32"/>
          <w:lang w:eastAsia="zh-CN"/>
        </w:rPr>
        <w:t>）</w:t>
      </w:r>
      <w:r>
        <w:rPr>
          <w:rFonts w:hint="eastAsia" w:ascii="Times New Roman" w:hAnsi="Times New Roman" w:eastAsia="仿宋"/>
          <w:sz w:val="32"/>
          <w:szCs w:val="32"/>
        </w:rPr>
        <w:t>和</w:t>
      </w:r>
      <w:r>
        <w:rPr>
          <w:rFonts w:hint="eastAsia" w:ascii="Times New Roman" w:hAnsi="Times New Roman" w:eastAsia="仿宋"/>
          <w:sz w:val="32"/>
          <w:szCs w:val="32"/>
          <w:lang w:eastAsia="zh-CN"/>
        </w:rPr>
        <w:t>证明</w:t>
      </w:r>
      <w:r>
        <w:rPr>
          <w:rFonts w:hint="eastAsia" w:ascii="Times New Roman" w:hAnsi="Times New Roman" w:eastAsia="仿宋"/>
          <w:sz w:val="32"/>
          <w:szCs w:val="32"/>
        </w:rPr>
        <w:t>材料。</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color w:val="000000"/>
          <w:kern w:val="0"/>
          <w:sz w:val="32"/>
          <w:szCs w:val="32"/>
          <w:lang w:eastAsia="zh-CN"/>
        </w:rPr>
        <w:t>（二）推荐。</w:t>
      </w:r>
      <w:r>
        <w:rPr>
          <w:rFonts w:hint="eastAsia" w:ascii="Times New Roman" w:hAnsi="Times New Roman" w:eastAsia="仿宋" w:cs="Times New Roman"/>
          <w:sz w:val="32"/>
          <w:szCs w:val="32"/>
        </w:rPr>
        <w:t>推荐单位对申报材料进行</w:t>
      </w:r>
      <w:r>
        <w:rPr>
          <w:rFonts w:hint="eastAsia" w:ascii="Times New Roman" w:hAnsi="Times New Roman" w:eastAsia="仿宋" w:cs="Times New Roman"/>
          <w:sz w:val="32"/>
          <w:szCs w:val="32"/>
          <w:lang w:eastAsia="zh-CN"/>
        </w:rPr>
        <w:t>初审</w:t>
      </w:r>
      <w:r>
        <w:rPr>
          <w:rFonts w:hint="eastAsia" w:ascii="Times New Roman" w:hAnsi="Times New Roman" w:eastAsia="仿宋" w:cs="Times New Roman"/>
          <w:sz w:val="32"/>
          <w:szCs w:val="32"/>
        </w:rPr>
        <w:t>，确保申报材料的完整、真实和准确。初审通过后，</w:t>
      </w:r>
      <w:r>
        <w:rPr>
          <w:rFonts w:hint="eastAsia" w:ascii="Times New Roman" w:hAnsi="Times New Roman" w:eastAsia="仿宋" w:cs="Times New Roman"/>
          <w:sz w:val="32"/>
          <w:szCs w:val="32"/>
          <w:lang w:eastAsia="zh-CN"/>
        </w:rPr>
        <w:t>省级标准化行政主管部门或国务院有关行政主管部门</w:t>
      </w:r>
      <w:r>
        <w:rPr>
          <w:rFonts w:hint="eastAsia" w:ascii="Times New Roman" w:hAnsi="Times New Roman" w:eastAsia="仿宋" w:cs="Times New Roman"/>
          <w:sz w:val="32"/>
          <w:szCs w:val="32"/>
        </w:rPr>
        <w:t>以正式公函向</w:t>
      </w:r>
      <w:r>
        <w:rPr>
          <w:rFonts w:hint="eastAsia" w:ascii="Times New Roman" w:hAnsi="Times New Roman" w:eastAsia="仿宋" w:cs="Times New Roman"/>
          <w:sz w:val="32"/>
          <w:szCs w:val="32"/>
          <w:lang w:eastAsia="zh-CN"/>
        </w:rPr>
        <w:t>标准委</w:t>
      </w:r>
      <w:r>
        <w:rPr>
          <w:rFonts w:hint="eastAsia" w:ascii="Times New Roman" w:hAnsi="Times New Roman" w:eastAsia="仿宋" w:cs="Times New Roman"/>
          <w:sz w:val="32"/>
          <w:szCs w:val="32"/>
        </w:rPr>
        <w:t>提出推荐意见。</w:t>
      </w:r>
      <w:r>
        <w:rPr>
          <w:rFonts w:hint="eastAsia" w:ascii="Times New Roman" w:hAnsi="Times New Roman" w:eastAsia="仿宋"/>
          <w:sz w:val="32"/>
          <w:szCs w:val="32"/>
        </w:rPr>
        <w:t>原则上，各推荐单位推荐数量不超过</w:t>
      </w:r>
      <w:r>
        <w:rPr>
          <w:rFonts w:ascii="Times New Roman" w:hAnsi="Times New Roman" w:eastAsia="仿宋"/>
          <w:sz w:val="32"/>
          <w:szCs w:val="32"/>
        </w:rPr>
        <w:t>3个。</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楷体" w:hAnsi="楷体" w:eastAsia="楷体" w:cs="楷体"/>
          <w:color w:val="000000"/>
          <w:kern w:val="0"/>
          <w:sz w:val="32"/>
          <w:szCs w:val="32"/>
          <w:lang w:eastAsia="zh-CN"/>
        </w:rPr>
        <w:t>（三）评审和批复。</w:t>
      </w:r>
      <w:r>
        <w:rPr>
          <w:rFonts w:hint="eastAsia" w:ascii="Times New Roman" w:hAnsi="Times New Roman" w:eastAsia="仿宋" w:cs="宋体"/>
          <w:color w:val="000000"/>
          <w:kern w:val="0"/>
          <w:sz w:val="32"/>
          <w:szCs w:val="32"/>
          <w:lang w:eastAsia="zh-CN"/>
        </w:rPr>
        <w:t>标准委将重点从申请报告规范性、申报单位基础和优势、统计分析方案的可行性、建设预期效益等方面组织专家进行论证。通过评审的将进行为期</w:t>
      </w:r>
      <w:r>
        <w:rPr>
          <w:rFonts w:hint="eastAsia" w:ascii="Times New Roman" w:hAnsi="Times New Roman" w:eastAsia="仿宋" w:cs="宋体"/>
          <w:color w:val="000000"/>
          <w:kern w:val="0"/>
          <w:sz w:val="32"/>
          <w:szCs w:val="32"/>
          <w:lang w:val="en-US" w:eastAsia="zh-CN"/>
        </w:rPr>
        <w:t>10个工作日的公示，经公示无意见的</w:t>
      </w:r>
      <w:r>
        <w:rPr>
          <w:rFonts w:hint="eastAsia" w:ascii="Times New Roman" w:hAnsi="Times New Roman" w:eastAsia="仿宋" w:cs="宋体"/>
          <w:color w:val="000000"/>
          <w:kern w:val="0"/>
          <w:sz w:val="32"/>
          <w:szCs w:val="32"/>
          <w:lang w:eastAsia="zh-CN"/>
        </w:rPr>
        <w:t>批复筹建统计分析点，筹建期</w:t>
      </w:r>
      <w:r>
        <w:rPr>
          <w:rFonts w:hint="eastAsia" w:ascii="Times New Roman" w:hAnsi="Times New Roman" w:eastAsia="仿宋" w:cs="宋体"/>
          <w:color w:val="000000"/>
          <w:kern w:val="0"/>
          <w:sz w:val="32"/>
          <w:szCs w:val="32"/>
          <w:lang w:val="en-US" w:eastAsia="zh-CN"/>
        </w:rPr>
        <w:t>2</w:t>
      </w:r>
      <w:r>
        <w:rPr>
          <w:rFonts w:hint="eastAsia" w:ascii="Times New Roman" w:hAnsi="Times New Roman" w:eastAsia="仿宋" w:cs="宋体"/>
          <w:color w:val="000000"/>
          <w:kern w:val="0"/>
          <w:sz w:val="32"/>
          <w:szCs w:val="32"/>
          <w:lang w:eastAsia="zh-CN"/>
        </w:rPr>
        <w:t>年。</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auto"/>
        <w:rPr>
          <w:rFonts w:hint="eastAsia" w:ascii="Times New Roman" w:hAnsi="Times New Roman" w:eastAsia="仿宋" w:cs="宋体"/>
          <w:color w:val="000000"/>
          <w:kern w:val="0"/>
          <w:sz w:val="32"/>
          <w:szCs w:val="32"/>
          <w:lang w:eastAsia="zh-CN"/>
        </w:rPr>
      </w:pPr>
      <w:r>
        <w:rPr>
          <w:rFonts w:hint="eastAsia" w:ascii="楷体" w:hAnsi="楷体" w:eastAsia="楷体" w:cs="楷体"/>
          <w:color w:val="000000"/>
          <w:kern w:val="0"/>
          <w:sz w:val="32"/>
          <w:szCs w:val="32"/>
          <w:lang w:eastAsia="zh-CN"/>
        </w:rPr>
        <w:t>（四）考核评估和监督。</w:t>
      </w:r>
      <w:r>
        <w:rPr>
          <w:rFonts w:hint="eastAsia" w:ascii="Times New Roman" w:hAnsi="Times New Roman" w:eastAsia="仿宋" w:cs="宋体"/>
          <w:color w:val="000000"/>
          <w:kern w:val="0"/>
          <w:sz w:val="32"/>
          <w:szCs w:val="32"/>
          <w:lang w:eastAsia="zh-CN"/>
        </w:rPr>
        <w:t>统计分析点每年1</w:t>
      </w:r>
      <w:r>
        <w:rPr>
          <w:rFonts w:hint="eastAsia" w:ascii="Times New Roman" w:hAnsi="Times New Roman" w:eastAsia="仿宋" w:cs="宋体"/>
          <w:color w:val="000000"/>
          <w:kern w:val="0"/>
          <w:sz w:val="32"/>
          <w:szCs w:val="32"/>
          <w:lang w:val="en-US" w:eastAsia="zh-CN"/>
        </w:rPr>
        <w:t>2月底前</w:t>
      </w:r>
      <w:r>
        <w:rPr>
          <w:rFonts w:hint="eastAsia" w:ascii="Times New Roman" w:hAnsi="Times New Roman" w:eastAsia="仿宋" w:cs="宋体"/>
          <w:color w:val="000000"/>
          <w:kern w:val="0"/>
          <w:sz w:val="32"/>
          <w:szCs w:val="32"/>
          <w:lang w:eastAsia="zh-CN"/>
        </w:rPr>
        <w:t>应提交年度工作报告和重点标准的实施统计分析报告。筹建期满后，标准委将对统计分析点建设情况进行考核评估和事后监督，对通过考核的统计分析点开展常态化管理，对考核优秀的给予通报表扬等激励。各推荐单位应加强对统计分析点的日常指导，鼓励各地区、各部门加大对统计分析点的经费、政策等支持力度。</w:t>
      </w:r>
    </w:p>
    <w:p>
      <w:pPr>
        <w:keepNext w:val="0"/>
        <w:keepLines w:val="0"/>
        <w:pageBreakBefore w:val="0"/>
        <w:widowControl/>
        <w:kinsoku/>
        <w:wordWrap/>
        <w:topLinePunct w:val="0"/>
        <w:autoSpaceDE/>
        <w:autoSpaceDN/>
        <w:bidi w:val="0"/>
        <w:adjustRightInd/>
        <w:snapToGrid/>
        <w:spacing w:line="594" w:lineRule="exact"/>
        <w:jc w:val="left"/>
        <w:textAlignment w:val="auto"/>
        <w:rPr>
          <w:rFonts w:ascii="Times New Roman" w:hAnsi="Times New Roman" w:eastAsia="黑体" w:cs="Times New Roman"/>
          <w:sz w:val="32"/>
          <w:szCs w:val="32"/>
        </w:rPr>
      </w:pPr>
    </w:p>
    <w:p>
      <w:pPr>
        <w:keepNext w:val="0"/>
        <w:keepLines w:val="0"/>
        <w:pageBreakBefore w:val="0"/>
        <w:widowControl/>
        <w:kinsoku/>
        <w:wordWrap/>
        <w:topLinePunct w:val="0"/>
        <w:autoSpaceDE/>
        <w:autoSpaceDN/>
        <w:bidi w:val="0"/>
        <w:adjustRightInd/>
        <w:snapToGrid/>
        <w:spacing w:line="594" w:lineRule="exact"/>
        <w:jc w:val="left"/>
        <w:textAlignment w:val="auto"/>
        <w:rPr>
          <w:rFonts w:ascii="Times New Roman" w:hAnsi="Times New Roman" w:eastAsia="黑体" w:cs="Times New Roman"/>
          <w:sz w:val="32"/>
          <w:szCs w:val="32"/>
        </w:rPr>
      </w:pPr>
    </w:p>
    <w:p>
      <w:pPr>
        <w:keepNext w:val="0"/>
        <w:keepLines w:val="0"/>
        <w:pageBreakBefore w:val="0"/>
        <w:widowControl/>
        <w:kinsoku/>
        <w:wordWrap/>
        <w:topLinePunct w:val="0"/>
        <w:autoSpaceDE/>
        <w:autoSpaceDN/>
        <w:bidi w:val="0"/>
        <w:adjustRightInd/>
        <w:snapToGrid/>
        <w:spacing w:line="594" w:lineRule="exact"/>
        <w:jc w:val="left"/>
        <w:textAlignment w:val="auto"/>
        <w:rPr>
          <w:rFonts w:ascii="Times New Roman" w:hAnsi="Times New Roman" w:eastAsia="黑体" w:cs="Times New Roman"/>
          <w:sz w:val="32"/>
          <w:szCs w:val="32"/>
        </w:rPr>
      </w:pPr>
    </w:p>
    <w:p>
      <w:pPr>
        <w:widowControl/>
        <w:jc w:val="left"/>
        <w:rPr>
          <w:rFonts w:ascii="Times New Roman" w:hAnsi="Times New Roman" w:eastAsia="黑体" w:cs="Times New Roman"/>
          <w:sz w:val="32"/>
          <w:szCs w:val="32"/>
        </w:rPr>
      </w:pPr>
    </w:p>
    <w:p>
      <w:pPr>
        <w:widowControl/>
        <w:jc w:val="left"/>
        <w:rPr>
          <w:rFonts w:ascii="Times New Roman" w:hAnsi="Times New Roman" w:eastAsia="黑体" w:cs="Times New Roman"/>
          <w:sz w:val="32"/>
          <w:szCs w:val="32"/>
        </w:rPr>
      </w:pPr>
    </w:p>
    <w:p>
      <w:pPr>
        <w:widowControl/>
        <w:jc w:val="left"/>
        <w:rPr>
          <w:rFonts w:ascii="Times New Roman" w:hAnsi="Times New Roman" w:eastAsia="黑体" w:cs="Times New Roman"/>
          <w:sz w:val="32"/>
          <w:szCs w:val="32"/>
        </w:rPr>
      </w:pPr>
    </w:p>
    <w:p>
      <w:pPr>
        <w:widowControl/>
        <w:jc w:val="left"/>
        <w:rPr>
          <w:rFonts w:ascii="Times New Roman" w:hAnsi="Times New Roman" w:eastAsia="黑体" w:cs="Times New Roman"/>
          <w:sz w:val="32"/>
          <w:szCs w:val="32"/>
        </w:rPr>
      </w:pPr>
    </w:p>
    <w:p>
      <w:pPr>
        <w:widowControl/>
        <w:jc w:val="left"/>
        <w:rPr>
          <w:rFonts w:ascii="Times New Roman" w:hAnsi="Times New Roman" w:eastAsia="黑体"/>
          <w:sz w:val="32"/>
          <w:szCs w:val="32"/>
        </w:rPr>
      </w:pPr>
      <w:r>
        <w:rPr>
          <w:rFonts w:ascii="Times New Roman" w:hAnsi="Times New Roman" w:eastAsia="黑体"/>
          <w:sz w:val="32"/>
          <w:szCs w:val="32"/>
        </w:rPr>
        <w:t>附</w:t>
      </w:r>
      <w:r>
        <w:rPr>
          <w:rFonts w:hint="eastAsia" w:ascii="Times New Roman" w:hAnsi="Times New Roman" w:eastAsia="黑体"/>
          <w:sz w:val="32"/>
          <w:szCs w:val="32"/>
        </w:rPr>
        <w:t>件2</w:t>
      </w:r>
    </w:p>
    <w:p>
      <w:pPr>
        <w:wordWrap w:val="0"/>
        <w:spacing w:line="594" w:lineRule="exact"/>
        <w:jc w:val="right"/>
        <w:rPr>
          <w:rFonts w:ascii="Times New Roman" w:hAnsi="Times New Roman" w:eastAsia="楷体"/>
          <w:sz w:val="30"/>
          <w:u w:val="single"/>
        </w:rPr>
      </w:pPr>
      <w:r>
        <w:rPr>
          <w:rFonts w:hint="eastAsia" w:ascii="Times New Roman" w:hAnsi="Times New Roman" w:eastAsia="方正楷体简体"/>
          <w:sz w:val="30"/>
        </w:rPr>
        <w:t xml:space="preserve">            </w:t>
      </w:r>
      <w:r>
        <w:rPr>
          <w:rFonts w:hint="eastAsia" w:ascii="Times New Roman" w:hAnsi="Times New Roman" w:eastAsia="楷体"/>
          <w:sz w:val="30"/>
        </w:rPr>
        <w:t xml:space="preserve"> 编号</w:t>
      </w:r>
      <w:r>
        <w:rPr>
          <w:rFonts w:ascii="Times New Roman" w:hAnsi="Times New Roman" w:eastAsia="楷体"/>
          <w:sz w:val="30"/>
          <w:u w:val="single"/>
        </w:rPr>
        <w:t xml:space="preserve">                </w:t>
      </w:r>
    </w:p>
    <w:p>
      <w:pPr>
        <w:spacing w:line="594" w:lineRule="exact"/>
        <w:rPr>
          <w:rFonts w:ascii="Times New Roman" w:hAnsi="Times New Roman"/>
          <w:sz w:val="28"/>
        </w:rPr>
      </w:pPr>
    </w:p>
    <w:p>
      <w:pPr>
        <w:spacing w:line="594" w:lineRule="exact"/>
        <w:jc w:val="center"/>
        <w:rPr>
          <w:rFonts w:ascii="Times New Roman" w:hAnsi="Times New Roman" w:eastAsia="方正小标宋简体"/>
          <w:sz w:val="44"/>
          <w:szCs w:val="44"/>
        </w:rPr>
      </w:pPr>
    </w:p>
    <w:p>
      <w:pPr>
        <w:spacing w:line="594"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强制性国家标准实施情况统计分析点</w:t>
      </w:r>
    </w:p>
    <w:p>
      <w:pPr>
        <w:spacing w:line="594"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项目申报书</w:t>
      </w:r>
    </w:p>
    <w:p>
      <w:pPr>
        <w:spacing w:line="594" w:lineRule="exact"/>
        <w:jc w:val="center"/>
        <w:rPr>
          <w:rFonts w:ascii="Times New Roman" w:hAnsi="Times New Roman" w:eastAsia="方正小标宋简体"/>
          <w:sz w:val="36"/>
          <w:szCs w:val="36"/>
        </w:rPr>
      </w:pPr>
    </w:p>
    <w:p>
      <w:pPr>
        <w:spacing w:line="594" w:lineRule="exact"/>
        <w:jc w:val="center"/>
        <w:rPr>
          <w:rFonts w:ascii="Times New Roman" w:hAnsi="Times New Roman" w:eastAsia="方正小标宋简体"/>
          <w:sz w:val="36"/>
          <w:szCs w:val="36"/>
        </w:rPr>
      </w:pPr>
    </w:p>
    <w:p>
      <w:pPr>
        <w:spacing w:line="594" w:lineRule="exact"/>
        <w:rPr>
          <w:rFonts w:ascii="Times New Roman" w:hAnsi="Times New Roman"/>
          <w:b/>
          <w:sz w:val="52"/>
        </w:rPr>
      </w:pPr>
    </w:p>
    <w:p>
      <w:pPr>
        <w:spacing w:line="594" w:lineRule="exact"/>
        <w:jc w:val="left"/>
        <w:rPr>
          <w:rFonts w:ascii="Times New Roman" w:hAnsi="Times New Roman" w:eastAsia="楷体"/>
          <w:sz w:val="32"/>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09"/>
        <w:gridCol w:w="2268"/>
        <w:gridCol w:w="53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noWrap w:val="0"/>
            <w:vAlign w:val="top"/>
          </w:tcPr>
          <w:p>
            <w:pPr>
              <w:spacing w:line="594" w:lineRule="exact"/>
              <w:jc w:val="left"/>
              <w:rPr>
                <w:rFonts w:ascii="Times New Roman" w:hAnsi="Times New Roman" w:eastAsia="楷体"/>
                <w:kern w:val="0"/>
                <w:sz w:val="32"/>
              </w:rPr>
            </w:pPr>
          </w:p>
        </w:tc>
        <w:tc>
          <w:tcPr>
            <w:tcW w:w="2268" w:type="dxa"/>
            <w:noWrap w:val="0"/>
            <w:vAlign w:val="top"/>
          </w:tcPr>
          <w:p>
            <w:pPr>
              <w:spacing w:line="594" w:lineRule="exact"/>
              <w:jc w:val="left"/>
              <w:rPr>
                <w:rFonts w:ascii="Times New Roman" w:hAnsi="Times New Roman" w:eastAsia="楷体"/>
                <w:kern w:val="0"/>
                <w:sz w:val="32"/>
              </w:rPr>
            </w:pPr>
            <w:r>
              <w:rPr>
                <w:rFonts w:hint="eastAsia" w:ascii="Times New Roman" w:hAnsi="Times New Roman" w:eastAsia="楷体"/>
                <w:kern w:val="0"/>
                <w:sz w:val="32"/>
              </w:rPr>
              <w:t>统计分析点：</w:t>
            </w:r>
          </w:p>
        </w:tc>
        <w:tc>
          <w:tcPr>
            <w:tcW w:w="5319" w:type="dxa"/>
            <w:noWrap w:val="0"/>
            <w:vAlign w:val="top"/>
          </w:tcPr>
          <w:p>
            <w:pPr>
              <w:spacing w:line="594" w:lineRule="exact"/>
              <w:jc w:val="left"/>
              <w:rPr>
                <w:rFonts w:ascii="Times New Roman" w:hAnsi="Times New Roman" w:eastAsia="楷体"/>
                <w:kern w:val="0"/>
                <w:sz w:val="32"/>
                <w:u w:val="single"/>
              </w:rPr>
            </w:pPr>
            <w:r>
              <w:rPr>
                <w:rFonts w:ascii="Times New Roman" w:hAnsi="Times New Roman" w:eastAsia="楷体"/>
                <w:kern w:val="0"/>
                <w:sz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noWrap w:val="0"/>
            <w:vAlign w:val="top"/>
          </w:tcPr>
          <w:p>
            <w:pPr>
              <w:spacing w:line="594" w:lineRule="exact"/>
              <w:jc w:val="left"/>
              <w:rPr>
                <w:rFonts w:ascii="Times New Roman" w:hAnsi="Times New Roman" w:eastAsia="楷体"/>
                <w:kern w:val="0"/>
                <w:sz w:val="32"/>
              </w:rPr>
            </w:pPr>
          </w:p>
        </w:tc>
        <w:tc>
          <w:tcPr>
            <w:tcW w:w="2268" w:type="dxa"/>
            <w:noWrap w:val="0"/>
            <w:vAlign w:val="top"/>
          </w:tcPr>
          <w:p>
            <w:pPr>
              <w:spacing w:line="594" w:lineRule="exact"/>
              <w:jc w:val="left"/>
              <w:rPr>
                <w:rFonts w:ascii="Times New Roman" w:hAnsi="Times New Roman" w:eastAsia="楷体"/>
                <w:kern w:val="0"/>
                <w:sz w:val="32"/>
              </w:rPr>
            </w:pPr>
            <w:r>
              <w:rPr>
                <w:rFonts w:hint="eastAsia" w:ascii="Times New Roman" w:hAnsi="Times New Roman" w:eastAsia="楷体"/>
                <w:spacing w:val="40"/>
                <w:kern w:val="0"/>
                <w:sz w:val="32"/>
                <w:fitText w:val="1920" w:id="2063463813"/>
              </w:rPr>
              <w:t>申报单位</w:t>
            </w:r>
            <w:r>
              <w:rPr>
                <w:rFonts w:hint="eastAsia" w:ascii="Times New Roman" w:hAnsi="Times New Roman" w:eastAsia="楷体"/>
                <w:spacing w:val="0"/>
                <w:kern w:val="0"/>
                <w:sz w:val="32"/>
                <w:fitText w:val="1920" w:id="2063463813"/>
              </w:rPr>
              <w:t>：</w:t>
            </w:r>
          </w:p>
        </w:tc>
        <w:tc>
          <w:tcPr>
            <w:tcW w:w="5319" w:type="dxa"/>
            <w:noWrap w:val="0"/>
            <w:vAlign w:val="top"/>
          </w:tcPr>
          <w:p>
            <w:pPr>
              <w:spacing w:line="594" w:lineRule="exact"/>
              <w:jc w:val="left"/>
              <w:rPr>
                <w:rFonts w:ascii="Times New Roman" w:hAnsi="Times New Roman" w:eastAsia="楷体"/>
                <w:kern w:val="0"/>
                <w:sz w:val="32"/>
              </w:rPr>
            </w:pPr>
            <w:r>
              <w:rPr>
                <w:rFonts w:ascii="Times New Roman" w:hAnsi="Times New Roman" w:eastAsia="楷体"/>
                <w:kern w:val="0"/>
                <w:sz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noWrap w:val="0"/>
            <w:vAlign w:val="top"/>
          </w:tcPr>
          <w:p>
            <w:pPr>
              <w:spacing w:line="594" w:lineRule="exact"/>
              <w:jc w:val="left"/>
              <w:rPr>
                <w:rFonts w:ascii="Times New Roman" w:hAnsi="Times New Roman" w:eastAsia="楷体"/>
                <w:kern w:val="0"/>
                <w:sz w:val="32"/>
              </w:rPr>
            </w:pPr>
          </w:p>
        </w:tc>
        <w:tc>
          <w:tcPr>
            <w:tcW w:w="2268" w:type="dxa"/>
            <w:noWrap w:val="0"/>
            <w:vAlign w:val="top"/>
          </w:tcPr>
          <w:p>
            <w:pPr>
              <w:spacing w:line="594" w:lineRule="exact"/>
              <w:jc w:val="left"/>
              <w:rPr>
                <w:rFonts w:ascii="Times New Roman" w:hAnsi="Times New Roman" w:eastAsia="楷体"/>
                <w:kern w:val="0"/>
                <w:sz w:val="32"/>
              </w:rPr>
            </w:pPr>
            <w:r>
              <w:rPr>
                <w:rFonts w:hint="eastAsia" w:ascii="Times New Roman" w:hAnsi="Times New Roman" w:eastAsia="楷体"/>
                <w:spacing w:val="40"/>
                <w:kern w:val="0"/>
                <w:sz w:val="32"/>
                <w:fitText w:val="1920" w:id="2128587809"/>
              </w:rPr>
              <w:t>推荐单位</w:t>
            </w:r>
            <w:r>
              <w:rPr>
                <w:rFonts w:hint="eastAsia" w:ascii="Times New Roman" w:hAnsi="Times New Roman" w:eastAsia="楷体"/>
                <w:spacing w:val="0"/>
                <w:kern w:val="0"/>
                <w:sz w:val="32"/>
                <w:fitText w:val="1920" w:id="2128587809"/>
              </w:rPr>
              <w:t>：</w:t>
            </w:r>
          </w:p>
        </w:tc>
        <w:tc>
          <w:tcPr>
            <w:tcW w:w="5319" w:type="dxa"/>
            <w:noWrap w:val="0"/>
            <w:vAlign w:val="top"/>
          </w:tcPr>
          <w:p>
            <w:pPr>
              <w:spacing w:line="594" w:lineRule="exact"/>
              <w:jc w:val="left"/>
              <w:rPr>
                <w:rFonts w:ascii="Times New Roman" w:hAnsi="Times New Roman" w:eastAsia="楷体"/>
                <w:kern w:val="0"/>
                <w:sz w:val="32"/>
              </w:rPr>
            </w:pPr>
            <w:r>
              <w:rPr>
                <w:rFonts w:ascii="Times New Roman" w:hAnsi="Times New Roman" w:eastAsia="楷体"/>
                <w:kern w:val="0"/>
                <w:sz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noWrap w:val="0"/>
            <w:vAlign w:val="top"/>
          </w:tcPr>
          <w:p>
            <w:pPr>
              <w:spacing w:line="594" w:lineRule="exact"/>
              <w:jc w:val="left"/>
              <w:rPr>
                <w:rFonts w:ascii="Times New Roman" w:hAnsi="Times New Roman" w:eastAsia="楷体"/>
                <w:kern w:val="0"/>
                <w:sz w:val="32"/>
              </w:rPr>
            </w:pPr>
          </w:p>
        </w:tc>
        <w:tc>
          <w:tcPr>
            <w:tcW w:w="2268" w:type="dxa"/>
            <w:noWrap w:val="0"/>
            <w:vAlign w:val="top"/>
          </w:tcPr>
          <w:p>
            <w:pPr>
              <w:spacing w:line="594" w:lineRule="exact"/>
              <w:jc w:val="left"/>
              <w:rPr>
                <w:rFonts w:ascii="Times New Roman" w:hAnsi="Times New Roman" w:eastAsia="楷体"/>
                <w:kern w:val="0"/>
                <w:sz w:val="32"/>
              </w:rPr>
            </w:pPr>
            <w:r>
              <w:rPr>
                <w:rFonts w:hint="eastAsia" w:ascii="Times New Roman" w:hAnsi="Times New Roman" w:eastAsia="楷体"/>
                <w:spacing w:val="40"/>
                <w:kern w:val="0"/>
                <w:sz w:val="32"/>
                <w:fitText w:val="1920" w:id="2147213641"/>
              </w:rPr>
              <w:t>实施时间</w:t>
            </w:r>
            <w:r>
              <w:rPr>
                <w:rFonts w:hint="eastAsia" w:ascii="Times New Roman" w:hAnsi="Times New Roman" w:eastAsia="楷体"/>
                <w:spacing w:val="0"/>
                <w:kern w:val="0"/>
                <w:sz w:val="32"/>
                <w:fitText w:val="1920" w:id="2147213641"/>
              </w:rPr>
              <w:t>：</w:t>
            </w:r>
          </w:p>
        </w:tc>
        <w:tc>
          <w:tcPr>
            <w:tcW w:w="5319" w:type="dxa"/>
            <w:noWrap w:val="0"/>
            <w:vAlign w:val="top"/>
          </w:tcPr>
          <w:p>
            <w:pPr>
              <w:spacing w:line="594" w:lineRule="exact"/>
              <w:jc w:val="left"/>
              <w:rPr>
                <w:rFonts w:ascii="Times New Roman" w:hAnsi="Times New Roman" w:eastAsia="楷体"/>
                <w:kern w:val="0"/>
                <w:sz w:val="32"/>
              </w:rPr>
            </w:pPr>
            <w:r>
              <w:rPr>
                <w:rFonts w:ascii="Times New Roman" w:hAnsi="Times New Roman" w:eastAsia="楷体"/>
                <w:kern w:val="0"/>
                <w:sz w:val="32"/>
                <w:u w:val="single"/>
              </w:rPr>
              <w:t xml:space="preserve">                               </w:t>
            </w:r>
          </w:p>
        </w:tc>
      </w:tr>
    </w:tbl>
    <w:p>
      <w:pPr>
        <w:spacing w:line="594" w:lineRule="exact"/>
        <w:jc w:val="left"/>
        <w:rPr>
          <w:rFonts w:ascii="Times New Roman" w:hAnsi="Times New Roman" w:eastAsia="楷体"/>
          <w:sz w:val="32"/>
        </w:rPr>
      </w:pPr>
    </w:p>
    <w:p>
      <w:pPr>
        <w:spacing w:line="594" w:lineRule="exact"/>
        <w:jc w:val="left"/>
        <w:rPr>
          <w:rFonts w:ascii="Times New Roman" w:hAnsi="Times New Roman" w:eastAsia="楷体"/>
          <w:sz w:val="32"/>
        </w:rPr>
      </w:pPr>
    </w:p>
    <w:p>
      <w:pPr>
        <w:spacing w:line="594" w:lineRule="exact"/>
        <w:jc w:val="left"/>
        <w:rPr>
          <w:rFonts w:ascii="Times New Roman" w:hAnsi="Times New Roman" w:eastAsia="楷体"/>
          <w:sz w:val="32"/>
        </w:rPr>
      </w:pPr>
    </w:p>
    <w:p>
      <w:pPr>
        <w:spacing w:line="594" w:lineRule="exact"/>
        <w:rPr>
          <w:rFonts w:ascii="Times New Roman" w:hAnsi="Times New Roman"/>
          <w:sz w:val="32"/>
        </w:rPr>
      </w:pPr>
    </w:p>
    <w:p>
      <w:pPr>
        <w:spacing w:line="594" w:lineRule="exact"/>
        <w:rPr>
          <w:rFonts w:ascii="Times New Roman" w:hAnsi="Times New Roman"/>
          <w:sz w:val="32"/>
        </w:rPr>
      </w:pPr>
    </w:p>
    <w:p>
      <w:pPr>
        <w:spacing w:line="594" w:lineRule="exact"/>
        <w:jc w:val="center"/>
        <w:rPr>
          <w:rFonts w:ascii="Times New Roman" w:hAnsi="Times New Roman" w:eastAsia="楷体"/>
          <w:sz w:val="32"/>
        </w:rPr>
      </w:pPr>
      <w:r>
        <w:rPr>
          <w:rFonts w:hint="eastAsia" w:ascii="Times New Roman" w:hAnsi="Times New Roman" w:eastAsia="楷体"/>
          <w:sz w:val="32"/>
        </w:rPr>
        <w:t>国家标准化管理委员会  制</w:t>
      </w:r>
    </w:p>
    <w:p>
      <w:pPr>
        <w:spacing w:line="594" w:lineRule="exact"/>
        <w:jc w:val="center"/>
        <w:rPr>
          <w:rFonts w:ascii="Times New Roman" w:hAnsi="Times New Roman" w:eastAsia="方正楷体简体"/>
          <w:sz w:val="32"/>
        </w:rPr>
      </w:pPr>
    </w:p>
    <w:p>
      <w:pPr>
        <w:spacing w:line="594" w:lineRule="exact"/>
        <w:jc w:val="center"/>
        <w:rPr>
          <w:rFonts w:ascii="Times New Roman" w:hAnsi="Times New Roman" w:eastAsia="楷体"/>
          <w:sz w:val="32"/>
        </w:rPr>
      </w:pPr>
      <w:r>
        <w:rPr>
          <w:rFonts w:hint="eastAsia" w:ascii="Times New Roman" w:hAnsi="Times New Roman" w:eastAsia="楷体"/>
          <w:sz w:val="32"/>
        </w:rPr>
        <w:t xml:space="preserve">   年    月    日</w:t>
      </w:r>
    </w:p>
    <w:p>
      <w:pPr>
        <w:spacing w:line="594" w:lineRule="exact"/>
        <w:rPr>
          <w:rFonts w:ascii="Times New Roman" w:hAnsi="Times New Roman"/>
          <w:b/>
          <w:sz w:val="30"/>
        </w:rPr>
        <w:sectPr>
          <w:headerReference r:id="rId3" w:type="first"/>
          <w:footerReference r:id="rId6" w:type="first"/>
          <w:footerReference r:id="rId4" w:type="default"/>
          <w:footerReference r:id="rId5" w:type="even"/>
          <w:pgSz w:w="11906" w:h="16838"/>
          <w:pgMar w:top="1984" w:right="1474" w:bottom="1644" w:left="1474" w:header="851" w:footer="1191" w:gutter="0"/>
          <w:paperSrc/>
          <w:pgNumType w:fmt="decimal" w:start="4"/>
          <w:cols w:space="720" w:num="1"/>
          <w:rtlGutter w:val="0"/>
          <w:docGrid w:type="lines" w:linePitch="312" w:charSpace="0"/>
        </w:sectPr>
      </w:pPr>
    </w:p>
    <w:p>
      <w:pPr>
        <w:spacing w:line="594" w:lineRule="exact"/>
        <w:rPr>
          <w:rFonts w:ascii="Times New Roman" w:hAnsi="Times New Roman"/>
          <w:b/>
          <w:sz w:val="30"/>
        </w:rPr>
      </w:pPr>
    </w:p>
    <w:p>
      <w:pPr>
        <w:spacing w:line="594" w:lineRule="exact"/>
        <w:jc w:val="center"/>
        <w:rPr>
          <w:rFonts w:ascii="Times New Roman" w:hAnsi="Times New Roman" w:eastAsia="方正小标宋简体"/>
          <w:sz w:val="36"/>
          <w:szCs w:val="36"/>
        </w:rPr>
      </w:pPr>
      <w:r>
        <w:rPr>
          <w:rFonts w:hint="eastAsia" w:ascii="Times New Roman" w:hAnsi="Times New Roman" w:eastAsia="方正小标宋简体"/>
          <w:sz w:val="36"/>
          <w:szCs w:val="36"/>
        </w:rPr>
        <w:t>填 写 说 明</w:t>
      </w:r>
    </w:p>
    <w:p>
      <w:pPr>
        <w:spacing w:line="594" w:lineRule="exact"/>
        <w:rPr>
          <w:rFonts w:ascii="Times New Roman" w:hAnsi="Times New Roman" w:eastAsia="仿宋_GB2312"/>
          <w:b/>
          <w:sz w:val="30"/>
        </w:rPr>
      </w:pP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要求准确、如实填报。</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编号由国家标准化管理委员会统一填写。</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“统计分析点名称”应</w:t>
      </w:r>
      <w:r>
        <w:rPr>
          <w:rFonts w:hint="eastAsia" w:ascii="楷体" w:hAnsi="楷体" w:eastAsia="楷体" w:cs="楷体"/>
          <w:sz w:val="30"/>
          <w:szCs w:val="30"/>
          <w:lang w:eastAsia="zh-CN"/>
        </w:rPr>
        <w:t>依据</w:t>
      </w:r>
      <w:r>
        <w:rPr>
          <w:rFonts w:hint="eastAsia" w:ascii="楷体" w:hAnsi="楷体" w:eastAsia="楷体" w:cs="楷体"/>
          <w:sz w:val="30"/>
          <w:szCs w:val="30"/>
        </w:rPr>
        <w:t>统计分析</w:t>
      </w:r>
      <w:r>
        <w:rPr>
          <w:rFonts w:hint="eastAsia" w:ascii="楷体" w:hAnsi="楷体" w:eastAsia="楷体" w:cs="楷体"/>
          <w:sz w:val="30"/>
          <w:szCs w:val="30"/>
          <w:lang w:eastAsia="zh-CN"/>
        </w:rPr>
        <w:t>领域</w:t>
      </w:r>
      <w:r>
        <w:rPr>
          <w:rFonts w:hint="eastAsia" w:ascii="楷体" w:hAnsi="楷体" w:eastAsia="楷体" w:cs="楷体"/>
          <w:sz w:val="30"/>
          <w:szCs w:val="30"/>
        </w:rPr>
        <w:t>填写为“国家xx领域强制性国家标准实施情况统计分析点”，体现出统计分析项目的主要特色。每个统计分析点只能选取申报范围中的一个重点领域或一个重点领域的部分。</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“推荐单位”应为省、自治区、直辖市及新疆生产建设兵团市场监管局（厅、委）或国务院有关部门，名称用全称填写，不能省略。</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本申报书中有关项目页面不够时，可加附页。</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“项目主要参与单位”为申报单位外的其他单位，主要是</w:t>
      </w:r>
      <w:r>
        <w:rPr>
          <w:rFonts w:hint="eastAsia" w:ascii="楷体" w:hAnsi="楷体" w:eastAsia="楷体" w:cs="楷体"/>
          <w:sz w:val="30"/>
          <w:szCs w:val="30"/>
          <w:lang w:eastAsia="zh-CN"/>
        </w:rPr>
        <w:t>拥有不同方面数据资源的</w:t>
      </w:r>
      <w:r>
        <w:rPr>
          <w:rFonts w:hint="eastAsia" w:ascii="楷体" w:hAnsi="楷体" w:eastAsia="楷体" w:cs="楷体"/>
          <w:sz w:val="30"/>
          <w:szCs w:val="30"/>
        </w:rPr>
        <w:t>标准化机构、检验检测机构、认证机构、执法机构、科研院所、规划设计机构、行业协会、平台企业</w:t>
      </w:r>
      <w:r>
        <w:rPr>
          <w:rFonts w:hint="eastAsia" w:ascii="楷体" w:hAnsi="楷体" w:eastAsia="楷体" w:cs="楷体"/>
          <w:sz w:val="30"/>
          <w:szCs w:val="30"/>
          <w:lang w:eastAsia="zh-CN"/>
        </w:rPr>
        <w:t>等</w:t>
      </w:r>
      <w:r>
        <w:rPr>
          <w:rFonts w:hint="eastAsia" w:ascii="楷体" w:hAnsi="楷体" w:eastAsia="楷体" w:cs="楷体"/>
          <w:sz w:val="30"/>
          <w:szCs w:val="30"/>
        </w:rPr>
        <w:t>，数量不超过</w:t>
      </w:r>
      <w:r>
        <w:rPr>
          <w:rFonts w:hint="eastAsia" w:ascii="楷体" w:hAnsi="楷体" w:eastAsia="楷体" w:cs="楷体"/>
          <w:sz w:val="30"/>
          <w:szCs w:val="30"/>
          <w:lang w:val="en-US" w:eastAsia="zh-CN"/>
        </w:rPr>
        <w:t>3</w:t>
      </w:r>
      <w:r>
        <w:rPr>
          <w:rFonts w:hint="eastAsia" w:ascii="楷体" w:hAnsi="楷体" w:eastAsia="楷体" w:cs="楷体"/>
          <w:sz w:val="30"/>
          <w:szCs w:val="30"/>
        </w:rPr>
        <w:t>个。</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项目申报材料的填写，应按照规定的格式，要求双面打印，并统一使用A4纸装订。</w:t>
      </w:r>
    </w:p>
    <w:p>
      <w:pPr>
        <w:numPr>
          <w:ilvl w:val="0"/>
          <w:numId w:val="1"/>
        </w:numPr>
        <w:spacing w:line="594" w:lineRule="exact"/>
        <w:ind w:left="0" w:firstLine="600" w:firstLineChars="200"/>
        <w:rPr>
          <w:rFonts w:ascii="楷体" w:hAnsi="楷体" w:eastAsia="楷体" w:cs="楷体"/>
          <w:sz w:val="30"/>
          <w:szCs w:val="30"/>
        </w:rPr>
      </w:pPr>
      <w:r>
        <w:rPr>
          <w:rFonts w:hint="eastAsia" w:ascii="楷体" w:hAnsi="楷体" w:eastAsia="楷体" w:cs="楷体"/>
          <w:sz w:val="30"/>
          <w:szCs w:val="30"/>
        </w:rPr>
        <w:t>申报材料一式二份（电子版一份）。</w:t>
      </w:r>
    </w:p>
    <w:p>
      <w:pPr>
        <w:spacing w:line="594" w:lineRule="exact"/>
        <w:rPr>
          <w:rFonts w:ascii="Times New Roman" w:hAnsi="Times New Roman" w:eastAsia="黑体"/>
          <w:sz w:val="28"/>
          <w:szCs w:val="28"/>
        </w:rPr>
      </w:pPr>
      <w:r>
        <w:rPr>
          <w:rFonts w:ascii="Times New Roman" w:hAnsi="Times New Roman" w:eastAsia="仿宋_GB2312"/>
          <w:sz w:val="30"/>
        </w:rPr>
        <w:br w:type="page"/>
      </w:r>
      <w:r>
        <w:rPr>
          <w:rFonts w:hint="eastAsia" w:ascii="Times New Roman" w:hAnsi="Times New Roman" w:eastAsia="黑体"/>
          <w:sz w:val="28"/>
          <w:szCs w:val="28"/>
        </w:rPr>
        <w:t>一、基本情况</w:t>
      </w:r>
    </w:p>
    <w:tbl>
      <w:tblPr>
        <w:tblStyle w:val="5"/>
        <w:tblW w:w="9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4"/>
        <w:gridCol w:w="1808"/>
        <w:gridCol w:w="590"/>
        <w:gridCol w:w="432"/>
        <w:gridCol w:w="8"/>
        <w:gridCol w:w="600"/>
        <w:gridCol w:w="195"/>
        <w:gridCol w:w="757"/>
        <w:gridCol w:w="8"/>
        <w:gridCol w:w="944"/>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统计分析点名称</w:t>
            </w:r>
          </w:p>
        </w:tc>
        <w:tc>
          <w:tcPr>
            <w:tcW w:w="7084" w:type="dxa"/>
            <w:gridSpan w:val="10"/>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申报单位名称</w:t>
            </w:r>
          </w:p>
        </w:tc>
        <w:tc>
          <w:tcPr>
            <w:tcW w:w="2399" w:type="dxa"/>
            <w:gridSpan w:val="2"/>
            <w:noWrap w:val="0"/>
            <w:vAlign w:val="center"/>
          </w:tcPr>
          <w:p>
            <w:pPr>
              <w:adjustRightInd w:val="0"/>
              <w:snapToGrid w:val="0"/>
              <w:jc w:val="center"/>
              <w:rPr>
                <w:rFonts w:ascii="Times New Roman" w:hAnsi="Times New Roman" w:eastAsia="仿宋_GB2312"/>
                <w:sz w:val="24"/>
              </w:rPr>
            </w:pPr>
          </w:p>
        </w:tc>
        <w:tc>
          <w:tcPr>
            <w:tcW w:w="123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统一社会信用代码</w:t>
            </w:r>
          </w:p>
        </w:tc>
        <w:tc>
          <w:tcPr>
            <w:tcW w:w="3455" w:type="dxa"/>
            <w:gridSpan w:val="4"/>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restart"/>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主要参与单位</w:t>
            </w:r>
          </w:p>
        </w:tc>
        <w:tc>
          <w:tcPr>
            <w:tcW w:w="2394" w:type="dxa"/>
            <w:gridSpan w:val="2"/>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单位名称</w:t>
            </w:r>
          </w:p>
        </w:tc>
        <w:tc>
          <w:tcPr>
            <w:tcW w:w="1235"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统一社会信用代码</w:t>
            </w:r>
          </w:p>
        </w:tc>
        <w:tc>
          <w:tcPr>
            <w:tcW w:w="1710" w:type="dxa"/>
            <w:gridSpan w:val="3"/>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联系人</w:t>
            </w:r>
          </w:p>
        </w:tc>
        <w:tc>
          <w:tcPr>
            <w:tcW w:w="1745"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2394" w:type="dxa"/>
            <w:gridSpan w:val="2"/>
            <w:noWrap w:val="0"/>
            <w:vAlign w:val="center"/>
          </w:tcPr>
          <w:p>
            <w:pPr>
              <w:adjustRightInd w:val="0"/>
              <w:snapToGrid w:val="0"/>
              <w:jc w:val="center"/>
              <w:rPr>
                <w:rFonts w:ascii="Times New Roman" w:hAnsi="Times New Roman" w:eastAsia="仿宋_GB2312"/>
                <w:sz w:val="24"/>
              </w:rPr>
            </w:pPr>
          </w:p>
        </w:tc>
        <w:tc>
          <w:tcPr>
            <w:tcW w:w="1235" w:type="dxa"/>
            <w:gridSpan w:val="4"/>
            <w:noWrap w:val="0"/>
            <w:vAlign w:val="center"/>
          </w:tcPr>
          <w:p>
            <w:pPr>
              <w:adjustRightInd w:val="0"/>
              <w:snapToGrid w:val="0"/>
              <w:jc w:val="center"/>
              <w:rPr>
                <w:rFonts w:ascii="Times New Roman" w:hAnsi="Times New Roman" w:eastAsia="仿宋_GB2312"/>
                <w:sz w:val="24"/>
              </w:rPr>
            </w:pPr>
          </w:p>
        </w:tc>
        <w:tc>
          <w:tcPr>
            <w:tcW w:w="1710" w:type="dxa"/>
            <w:gridSpan w:val="3"/>
            <w:noWrap w:val="0"/>
            <w:vAlign w:val="center"/>
          </w:tcPr>
          <w:p>
            <w:pPr>
              <w:adjustRightInd w:val="0"/>
              <w:snapToGrid w:val="0"/>
              <w:jc w:val="center"/>
              <w:rPr>
                <w:rFonts w:ascii="Times New Roman" w:hAnsi="Times New Roman" w:eastAsia="仿宋_GB2312"/>
                <w:sz w:val="24"/>
              </w:rPr>
            </w:pPr>
          </w:p>
        </w:tc>
        <w:tc>
          <w:tcPr>
            <w:tcW w:w="1745" w:type="dxa"/>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2394" w:type="dxa"/>
            <w:gridSpan w:val="2"/>
            <w:noWrap w:val="0"/>
            <w:vAlign w:val="center"/>
          </w:tcPr>
          <w:p>
            <w:pPr>
              <w:adjustRightInd w:val="0"/>
              <w:snapToGrid w:val="0"/>
              <w:jc w:val="center"/>
              <w:rPr>
                <w:rFonts w:ascii="Times New Roman" w:hAnsi="Times New Roman" w:eastAsia="仿宋_GB2312"/>
                <w:sz w:val="24"/>
              </w:rPr>
            </w:pPr>
          </w:p>
        </w:tc>
        <w:tc>
          <w:tcPr>
            <w:tcW w:w="1235" w:type="dxa"/>
            <w:gridSpan w:val="4"/>
            <w:noWrap w:val="0"/>
            <w:vAlign w:val="center"/>
          </w:tcPr>
          <w:p>
            <w:pPr>
              <w:adjustRightInd w:val="0"/>
              <w:snapToGrid w:val="0"/>
              <w:jc w:val="center"/>
              <w:rPr>
                <w:rFonts w:ascii="Times New Roman" w:hAnsi="Times New Roman" w:eastAsia="仿宋_GB2312"/>
                <w:sz w:val="24"/>
              </w:rPr>
            </w:pPr>
          </w:p>
        </w:tc>
        <w:tc>
          <w:tcPr>
            <w:tcW w:w="1710" w:type="dxa"/>
            <w:gridSpan w:val="3"/>
            <w:noWrap w:val="0"/>
            <w:vAlign w:val="center"/>
          </w:tcPr>
          <w:p>
            <w:pPr>
              <w:adjustRightInd w:val="0"/>
              <w:snapToGrid w:val="0"/>
              <w:jc w:val="center"/>
              <w:rPr>
                <w:rFonts w:ascii="Times New Roman" w:hAnsi="Times New Roman" w:eastAsia="仿宋_GB2312"/>
                <w:sz w:val="24"/>
              </w:rPr>
            </w:pPr>
          </w:p>
        </w:tc>
        <w:tc>
          <w:tcPr>
            <w:tcW w:w="1745" w:type="dxa"/>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2394" w:type="dxa"/>
            <w:gridSpan w:val="2"/>
            <w:noWrap w:val="0"/>
            <w:vAlign w:val="center"/>
          </w:tcPr>
          <w:p>
            <w:pPr>
              <w:adjustRightInd w:val="0"/>
              <w:snapToGrid w:val="0"/>
              <w:jc w:val="center"/>
              <w:rPr>
                <w:rFonts w:ascii="Times New Roman" w:hAnsi="Times New Roman" w:eastAsia="仿宋_GB2312"/>
                <w:sz w:val="24"/>
              </w:rPr>
            </w:pPr>
          </w:p>
        </w:tc>
        <w:tc>
          <w:tcPr>
            <w:tcW w:w="1235" w:type="dxa"/>
            <w:gridSpan w:val="4"/>
            <w:noWrap w:val="0"/>
            <w:vAlign w:val="center"/>
          </w:tcPr>
          <w:p>
            <w:pPr>
              <w:adjustRightInd w:val="0"/>
              <w:snapToGrid w:val="0"/>
              <w:jc w:val="center"/>
              <w:rPr>
                <w:rFonts w:ascii="Times New Roman" w:hAnsi="Times New Roman" w:eastAsia="仿宋_GB2312"/>
                <w:sz w:val="24"/>
              </w:rPr>
            </w:pPr>
          </w:p>
        </w:tc>
        <w:tc>
          <w:tcPr>
            <w:tcW w:w="1710" w:type="dxa"/>
            <w:gridSpan w:val="3"/>
            <w:noWrap w:val="0"/>
            <w:vAlign w:val="center"/>
          </w:tcPr>
          <w:p>
            <w:pPr>
              <w:adjustRightInd w:val="0"/>
              <w:snapToGrid w:val="0"/>
              <w:jc w:val="center"/>
              <w:rPr>
                <w:rFonts w:ascii="Times New Roman" w:hAnsi="Times New Roman" w:eastAsia="仿宋_GB2312"/>
                <w:sz w:val="24"/>
              </w:rPr>
            </w:pPr>
          </w:p>
        </w:tc>
        <w:tc>
          <w:tcPr>
            <w:tcW w:w="1745" w:type="dxa"/>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2394" w:type="dxa"/>
            <w:gridSpan w:val="2"/>
            <w:noWrap w:val="0"/>
            <w:vAlign w:val="center"/>
          </w:tcPr>
          <w:p>
            <w:pPr>
              <w:adjustRightInd w:val="0"/>
              <w:snapToGrid w:val="0"/>
              <w:jc w:val="center"/>
              <w:rPr>
                <w:rFonts w:ascii="Times New Roman" w:hAnsi="Times New Roman" w:eastAsia="仿宋_GB2312"/>
                <w:sz w:val="24"/>
              </w:rPr>
            </w:pPr>
          </w:p>
        </w:tc>
        <w:tc>
          <w:tcPr>
            <w:tcW w:w="1235" w:type="dxa"/>
            <w:gridSpan w:val="4"/>
            <w:noWrap w:val="0"/>
            <w:vAlign w:val="center"/>
          </w:tcPr>
          <w:p>
            <w:pPr>
              <w:adjustRightInd w:val="0"/>
              <w:snapToGrid w:val="0"/>
              <w:jc w:val="center"/>
              <w:rPr>
                <w:rFonts w:ascii="Times New Roman" w:hAnsi="Times New Roman" w:eastAsia="仿宋_GB2312"/>
                <w:sz w:val="24"/>
              </w:rPr>
            </w:pPr>
          </w:p>
        </w:tc>
        <w:tc>
          <w:tcPr>
            <w:tcW w:w="1710" w:type="dxa"/>
            <w:gridSpan w:val="3"/>
            <w:noWrap w:val="0"/>
            <w:vAlign w:val="center"/>
          </w:tcPr>
          <w:p>
            <w:pPr>
              <w:adjustRightInd w:val="0"/>
              <w:snapToGrid w:val="0"/>
              <w:jc w:val="center"/>
              <w:rPr>
                <w:rFonts w:ascii="Times New Roman" w:hAnsi="Times New Roman" w:eastAsia="仿宋_GB2312"/>
                <w:sz w:val="24"/>
              </w:rPr>
            </w:pPr>
          </w:p>
        </w:tc>
        <w:tc>
          <w:tcPr>
            <w:tcW w:w="1745" w:type="dxa"/>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8"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统计分析点内容</w:t>
            </w:r>
          </w:p>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00</w:t>
            </w:r>
            <w:r>
              <w:rPr>
                <w:rFonts w:hint="eastAsia" w:ascii="Times New Roman" w:hAnsi="Times New Roman" w:eastAsia="仿宋_GB2312"/>
                <w:sz w:val="24"/>
              </w:rPr>
              <w:t>字以内）</w:t>
            </w:r>
          </w:p>
        </w:tc>
        <w:tc>
          <w:tcPr>
            <w:tcW w:w="7084" w:type="dxa"/>
            <w:gridSpan w:val="10"/>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restart"/>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拟开展统计分析的标准清单</w:t>
            </w:r>
          </w:p>
        </w:tc>
        <w:tc>
          <w:tcPr>
            <w:tcW w:w="1809"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标准名称</w:t>
            </w:r>
          </w:p>
        </w:tc>
        <w:tc>
          <w:tcPr>
            <w:tcW w:w="163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标准号</w:t>
            </w:r>
          </w:p>
        </w:tc>
        <w:tc>
          <w:tcPr>
            <w:tcW w:w="3645" w:type="dxa"/>
            <w:gridSpan w:val="5"/>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标准规范的对象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1809" w:type="dxa"/>
            <w:noWrap w:val="0"/>
            <w:vAlign w:val="center"/>
          </w:tcPr>
          <w:p>
            <w:pPr>
              <w:adjustRightInd w:val="0"/>
              <w:snapToGrid w:val="0"/>
              <w:jc w:val="center"/>
              <w:rPr>
                <w:rFonts w:ascii="Times New Roman" w:hAnsi="Times New Roman" w:eastAsia="仿宋_GB2312"/>
                <w:sz w:val="24"/>
              </w:rPr>
            </w:pPr>
          </w:p>
        </w:tc>
        <w:tc>
          <w:tcPr>
            <w:tcW w:w="1630" w:type="dxa"/>
            <w:gridSpan w:val="4"/>
            <w:noWrap w:val="0"/>
            <w:vAlign w:val="center"/>
          </w:tcPr>
          <w:p>
            <w:pPr>
              <w:adjustRightInd w:val="0"/>
              <w:snapToGrid w:val="0"/>
              <w:jc w:val="center"/>
              <w:rPr>
                <w:rFonts w:ascii="Times New Roman" w:hAnsi="Times New Roman" w:eastAsia="仿宋_GB2312"/>
                <w:sz w:val="24"/>
              </w:rPr>
            </w:pPr>
          </w:p>
        </w:tc>
        <w:tc>
          <w:tcPr>
            <w:tcW w:w="3645" w:type="dxa"/>
            <w:gridSpan w:val="5"/>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1809" w:type="dxa"/>
            <w:noWrap w:val="0"/>
            <w:vAlign w:val="center"/>
          </w:tcPr>
          <w:p>
            <w:pPr>
              <w:adjustRightInd w:val="0"/>
              <w:snapToGrid w:val="0"/>
              <w:jc w:val="center"/>
              <w:rPr>
                <w:rFonts w:ascii="Times New Roman" w:hAnsi="Times New Roman" w:eastAsia="仿宋_GB2312"/>
                <w:sz w:val="24"/>
              </w:rPr>
            </w:pPr>
          </w:p>
        </w:tc>
        <w:tc>
          <w:tcPr>
            <w:tcW w:w="1630" w:type="dxa"/>
            <w:gridSpan w:val="4"/>
            <w:noWrap w:val="0"/>
            <w:vAlign w:val="center"/>
          </w:tcPr>
          <w:p>
            <w:pPr>
              <w:adjustRightInd w:val="0"/>
              <w:snapToGrid w:val="0"/>
              <w:jc w:val="center"/>
              <w:rPr>
                <w:rFonts w:ascii="Times New Roman" w:hAnsi="Times New Roman" w:eastAsia="仿宋_GB2312"/>
                <w:sz w:val="24"/>
              </w:rPr>
            </w:pPr>
          </w:p>
        </w:tc>
        <w:tc>
          <w:tcPr>
            <w:tcW w:w="3645" w:type="dxa"/>
            <w:gridSpan w:val="5"/>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1809" w:type="dxa"/>
            <w:noWrap w:val="0"/>
            <w:vAlign w:val="center"/>
          </w:tcPr>
          <w:p>
            <w:pPr>
              <w:adjustRightInd w:val="0"/>
              <w:snapToGrid w:val="0"/>
              <w:jc w:val="center"/>
              <w:rPr>
                <w:rFonts w:ascii="Times New Roman" w:hAnsi="Times New Roman" w:eastAsia="仿宋_GB2312"/>
                <w:sz w:val="24"/>
              </w:rPr>
            </w:pPr>
          </w:p>
        </w:tc>
        <w:tc>
          <w:tcPr>
            <w:tcW w:w="1630" w:type="dxa"/>
            <w:gridSpan w:val="4"/>
            <w:noWrap w:val="0"/>
            <w:vAlign w:val="center"/>
          </w:tcPr>
          <w:p>
            <w:pPr>
              <w:adjustRightInd w:val="0"/>
              <w:snapToGrid w:val="0"/>
              <w:jc w:val="center"/>
              <w:rPr>
                <w:rFonts w:ascii="Times New Roman" w:hAnsi="Times New Roman" w:eastAsia="仿宋_GB2312"/>
                <w:sz w:val="24"/>
              </w:rPr>
            </w:pPr>
          </w:p>
        </w:tc>
        <w:tc>
          <w:tcPr>
            <w:tcW w:w="3645" w:type="dxa"/>
            <w:gridSpan w:val="5"/>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vMerge w:val="continue"/>
            <w:noWrap w:val="0"/>
            <w:vAlign w:val="center"/>
          </w:tcPr>
          <w:p>
            <w:pPr>
              <w:adjustRightInd w:val="0"/>
              <w:snapToGrid w:val="0"/>
              <w:jc w:val="center"/>
              <w:rPr>
                <w:rFonts w:ascii="Times New Roman" w:hAnsi="Times New Roman" w:eastAsia="仿宋_GB2312"/>
                <w:sz w:val="24"/>
              </w:rPr>
            </w:pPr>
          </w:p>
        </w:tc>
        <w:tc>
          <w:tcPr>
            <w:tcW w:w="1809" w:type="dxa"/>
            <w:noWrap w:val="0"/>
            <w:vAlign w:val="center"/>
          </w:tcPr>
          <w:p>
            <w:pPr>
              <w:adjustRightInd w:val="0"/>
              <w:snapToGrid w:val="0"/>
              <w:jc w:val="center"/>
              <w:rPr>
                <w:rFonts w:ascii="Times New Roman" w:hAnsi="Times New Roman" w:eastAsia="仿宋_GB2312"/>
                <w:sz w:val="24"/>
              </w:rPr>
            </w:pPr>
          </w:p>
        </w:tc>
        <w:tc>
          <w:tcPr>
            <w:tcW w:w="1630" w:type="dxa"/>
            <w:gridSpan w:val="4"/>
            <w:noWrap w:val="0"/>
            <w:vAlign w:val="center"/>
          </w:tcPr>
          <w:p>
            <w:pPr>
              <w:adjustRightInd w:val="0"/>
              <w:snapToGrid w:val="0"/>
              <w:jc w:val="center"/>
              <w:rPr>
                <w:rFonts w:ascii="Times New Roman" w:hAnsi="Times New Roman" w:eastAsia="仿宋_GB2312"/>
                <w:sz w:val="24"/>
              </w:rPr>
            </w:pPr>
          </w:p>
        </w:tc>
        <w:tc>
          <w:tcPr>
            <w:tcW w:w="3645" w:type="dxa"/>
            <w:gridSpan w:val="5"/>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申报单位负责人</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职务/职称</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联系电话</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传真</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电子邮箱</w:t>
            </w:r>
          </w:p>
        </w:tc>
        <w:tc>
          <w:tcPr>
            <w:tcW w:w="7084" w:type="dxa"/>
            <w:gridSpan w:val="10"/>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申报单位联系人</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职务/职称</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联系电话</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传真</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电子邮箱</w:t>
            </w:r>
          </w:p>
        </w:tc>
        <w:tc>
          <w:tcPr>
            <w:tcW w:w="2839" w:type="dxa"/>
            <w:gridSpan w:val="4"/>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通信地址</w:t>
            </w:r>
          </w:p>
        </w:tc>
        <w:tc>
          <w:tcPr>
            <w:tcW w:w="2685" w:type="dxa"/>
            <w:gridSpan w:val="2"/>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推荐单位联系人</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职务</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联系电话</w:t>
            </w:r>
          </w:p>
        </w:tc>
        <w:tc>
          <w:tcPr>
            <w:tcW w:w="2831" w:type="dxa"/>
            <w:gridSpan w:val="3"/>
            <w:noWrap w:val="0"/>
            <w:vAlign w:val="center"/>
          </w:tcPr>
          <w:p>
            <w:pPr>
              <w:adjustRightInd w:val="0"/>
              <w:snapToGrid w:val="0"/>
              <w:jc w:val="center"/>
              <w:rPr>
                <w:rFonts w:ascii="Times New Roman" w:hAnsi="Times New Roman" w:eastAsia="仿宋_GB2312"/>
                <w:sz w:val="24"/>
              </w:rPr>
            </w:pPr>
          </w:p>
        </w:tc>
        <w:tc>
          <w:tcPr>
            <w:tcW w:w="1560" w:type="dxa"/>
            <w:gridSpan w:val="4"/>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传真</w:t>
            </w:r>
          </w:p>
        </w:tc>
        <w:tc>
          <w:tcPr>
            <w:tcW w:w="2693" w:type="dxa"/>
            <w:gridSpan w:val="3"/>
            <w:noWrap w:val="0"/>
            <w:vAlign w:val="center"/>
          </w:tcPr>
          <w:p>
            <w:pPr>
              <w:adjustRightInd w:val="0"/>
              <w:snapToGrid w:val="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6" w:type="dxa"/>
            <w:noWrap w:val="0"/>
            <w:vAlign w:val="center"/>
          </w:tcPr>
          <w:p>
            <w:pPr>
              <w:adjustRightInd w:val="0"/>
              <w:snapToGrid w:val="0"/>
              <w:jc w:val="center"/>
              <w:rPr>
                <w:rFonts w:ascii="Times New Roman" w:hAnsi="Times New Roman" w:eastAsia="仿宋_GB2312"/>
                <w:sz w:val="24"/>
              </w:rPr>
            </w:pPr>
            <w:r>
              <w:rPr>
                <w:rFonts w:hint="eastAsia" w:ascii="Times New Roman" w:hAnsi="Times New Roman" w:eastAsia="仿宋_GB2312"/>
                <w:sz w:val="24"/>
              </w:rPr>
              <w:t>电子邮箱</w:t>
            </w:r>
          </w:p>
        </w:tc>
        <w:tc>
          <w:tcPr>
            <w:tcW w:w="7084" w:type="dxa"/>
            <w:gridSpan w:val="10"/>
            <w:noWrap w:val="0"/>
            <w:vAlign w:val="center"/>
          </w:tcPr>
          <w:p>
            <w:pPr>
              <w:adjustRightInd w:val="0"/>
              <w:snapToGrid w:val="0"/>
              <w:jc w:val="center"/>
              <w:rPr>
                <w:rFonts w:ascii="Times New Roman" w:hAnsi="Times New Roman" w:eastAsia="仿宋_GB2312"/>
                <w:sz w:val="24"/>
              </w:rPr>
            </w:pPr>
          </w:p>
        </w:tc>
      </w:tr>
    </w:tbl>
    <w:p>
      <w:pPr>
        <w:widowControl/>
        <w:jc w:val="left"/>
        <w:rPr>
          <w:rFonts w:ascii="Times New Roman" w:hAnsi="Times New Roman" w:eastAsia="黑体"/>
          <w:sz w:val="28"/>
          <w:szCs w:val="28"/>
        </w:rPr>
      </w:pPr>
      <w:r>
        <w:rPr>
          <w:rFonts w:ascii="Times New Roman" w:hAnsi="Times New Roman" w:eastAsia="黑体"/>
          <w:sz w:val="28"/>
          <w:szCs w:val="28"/>
        </w:rPr>
        <w:br w:type="page"/>
      </w:r>
      <w:r>
        <w:rPr>
          <w:rFonts w:hint="eastAsia" w:ascii="Times New Roman" w:hAnsi="Times New Roman" w:eastAsia="黑体"/>
          <w:sz w:val="28"/>
          <w:szCs w:val="28"/>
        </w:rPr>
        <w:t>二、实施可行性</w:t>
      </w:r>
    </w:p>
    <w:tbl>
      <w:tblPr>
        <w:tblStyle w:val="5"/>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6" w:hRule="atLeast"/>
          <w:jc w:val="center"/>
        </w:trPr>
        <w:tc>
          <w:tcPr>
            <w:tcW w:w="9042"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ascii="Times New Roman" w:hAnsi="Times New Roman" w:eastAsia="楷体"/>
                <w:sz w:val="28"/>
                <w:szCs w:val="28"/>
              </w:rPr>
            </w:pPr>
            <w:r>
              <w:rPr>
                <w:rFonts w:hint="eastAsia" w:ascii="Times New Roman" w:hAnsi="Times New Roman" w:eastAsia="楷体"/>
                <w:sz w:val="28"/>
                <w:szCs w:val="28"/>
              </w:rPr>
              <w:t>（一）工作基础</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4"/>
              </w:rPr>
            </w:pPr>
            <w:r>
              <w:rPr>
                <w:rFonts w:hint="default" w:ascii="Times New Roman" w:hAnsi="Times New Roman" w:eastAsia="仿宋_GB2312" w:cs="Times New Roman"/>
                <w:sz w:val="28"/>
                <w:szCs w:val="28"/>
                <w:lang w:val="en-US" w:eastAsia="zh-CN"/>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行业</w:t>
            </w:r>
            <w:r>
              <w:rPr>
                <w:rFonts w:hint="eastAsia" w:ascii="仿宋_GB2312" w:hAnsi="仿宋_GB2312" w:eastAsia="仿宋_GB2312" w:cs="仿宋_GB2312"/>
                <w:sz w:val="28"/>
                <w:szCs w:val="28"/>
                <w:lang w:eastAsia="zh-CN"/>
              </w:rPr>
              <w:t>或领域</w:t>
            </w:r>
            <w:r>
              <w:rPr>
                <w:rFonts w:hint="eastAsia" w:ascii="仿宋_GB2312" w:hAnsi="仿宋_GB2312" w:eastAsia="仿宋_GB2312" w:cs="仿宋_GB2312"/>
                <w:sz w:val="28"/>
                <w:szCs w:val="28"/>
              </w:rPr>
              <w:t>发展情况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仿宋_GB2312" w:hAnsi="仿宋_GB2312" w:eastAsia="仿宋_GB2312" w:cs="仿宋_GB2312"/>
                <w:sz w:val="28"/>
                <w:szCs w:val="28"/>
                <w:lang w:eastAsia="zh-CN"/>
              </w:rPr>
              <w:t>介绍</w:t>
            </w:r>
            <w:r>
              <w:rPr>
                <w:rFonts w:hint="eastAsia" w:ascii="仿宋_GB2312" w:hAnsi="仿宋_GB2312" w:eastAsia="仿宋_GB2312" w:cs="仿宋_GB2312"/>
                <w:sz w:val="28"/>
                <w:szCs w:val="28"/>
              </w:rPr>
              <w:t>申报单位所在行业或</w:t>
            </w:r>
            <w:r>
              <w:rPr>
                <w:rFonts w:hint="eastAsia" w:ascii="仿宋_GB2312" w:hAnsi="仿宋_GB2312" w:eastAsia="仿宋_GB2312" w:cs="仿宋_GB2312"/>
                <w:sz w:val="28"/>
                <w:szCs w:val="28"/>
                <w:lang w:eastAsia="zh-CN"/>
              </w:rPr>
              <w:t>领域</w:t>
            </w:r>
            <w:r>
              <w:rPr>
                <w:rFonts w:hint="eastAsia" w:ascii="仿宋_GB2312" w:hAnsi="仿宋_GB2312" w:eastAsia="仿宋_GB2312" w:cs="仿宋_GB2312"/>
                <w:sz w:val="28"/>
                <w:szCs w:val="28"/>
              </w:rPr>
              <w:t>发展</w:t>
            </w:r>
            <w:r>
              <w:rPr>
                <w:rFonts w:hint="eastAsia" w:ascii="仿宋_GB2312" w:hAnsi="仿宋_GB2312" w:eastAsia="仿宋_GB2312" w:cs="仿宋_GB2312"/>
                <w:sz w:val="28"/>
                <w:szCs w:val="28"/>
                <w:lang w:eastAsia="zh-CN"/>
              </w:rPr>
              <w:t>情况，分析行业或领域对标准化的需求</w:t>
            </w:r>
            <w:r>
              <w:rPr>
                <w:rFonts w:hint="eastAsia" w:ascii="Times New Roman" w:hAnsi="Times New Roman" w:eastAsia="方正仿宋简体" w:cs="Times New Roman"/>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8"/>
                <w:szCs w:val="28"/>
              </w:rPr>
            </w:pPr>
            <w:r>
              <w:rPr>
                <w:rFonts w:hint="default" w:ascii="Times New Roman" w:hAnsi="Times New Roman" w:eastAsia="仿宋_GB2312" w:cs="Times New Roman"/>
                <w:sz w:val="28"/>
                <w:szCs w:val="28"/>
                <w:lang w:val="en-US" w:eastAsia="zh-CN"/>
              </w:rPr>
              <w:t>2.</w:t>
            </w:r>
            <w:r>
              <w:rPr>
                <w:rFonts w:hint="eastAsia" w:ascii="仿宋_GB2312" w:hAnsi="仿宋_GB2312" w:eastAsia="仿宋_GB2312" w:cs="仿宋_GB2312"/>
                <w:sz w:val="28"/>
                <w:szCs w:val="28"/>
              </w:rPr>
              <w:t>申报单位</w:t>
            </w:r>
            <w:r>
              <w:rPr>
                <w:rFonts w:hint="eastAsia" w:ascii="仿宋_GB2312" w:hAnsi="仿宋_GB2312" w:eastAsia="仿宋_GB2312" w:cs="仿宋_GB2312"/>
                <w:sz w:val="28"/>
                <w:szCs w:val="28"/>
                <w:lang w:eastAsia="zh-CN"/>
              </w:rPr>
              <w:t>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仿宋_GB2312" w:hAnsi="仿宋_GB2312" w:eastAsia="仿宋_GB2312" w:cs="仿宋_GB2312"/>
                <w:kern w:val="2"/>
                <w:sz w:val="28"/>
                <w:szCs w:val="28"/>
                <w:lang w:val="en-US" w:eastAsia="zh-CN" w:bidi="ar-SA"/>
              </w:rPr>
              <w:t>对照申报条件，介绍单位概况、硬件条件、负责的业务领域、承担的标准化技术组织或平台情况，开展标准制修订、标准宣贯培训、标准实施评估、标准化服务等标准化工作情况，参与编制所申报领域有关的法律法规、政策等有关支撑情况或相关科研课题情况，开展标准化相关人才队伍情况等。每分项列明不超过</w:t>
            </w:r>
            <w:r>
              <w:rPr>
                <w:rFonts w:hint="default" w:ascii="Times New Roman" w:hAnsi="Times New Roman" w:eastAsia="仿宋_GB2312" w:cs="Times New Roman"/>
                <w:kern w:val="2"/>
                <w:sz w:val="28"/>
                <w:szCs w:val="28"/>
                <w:lang w:val="en-US" w:eastAsia="zh-CN" w:bidi="ar-SA"/>
              </w:rPr>
              <w:t>5个</w:t>
            </w:r>
            <w:r>
              <w:rPr>
                <w:rFonts w:hint="eastAsia" w:ascii="仿宋_GB2312" w:hAnsi="仿宋_GB2312" w:eastAsia="仿宋_GB2312" w:cs="仿宋_GB2312"/>
                <w:kern w:val="2"/>
                <w:sz w:val="28"/>
                <w:szCs w:val="28"/>
                <w:lang w:val="en-US" w:eastAsia="zh-CN" w:bidi="ar-SA"/>
              </w:rPr>
              <w:t>具有典型代表的工作，并附佐证材料</w:t>
            </w:r>
            <w:r>
              <w:rPr>
                <w:rFonts w:hint="eastAsia" w:ascii="Times New Roman" w:hAnsi="Times New Roman" w:eastAsia="方正仿宋简体" w:cs="Times New Roman"/>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textAlignment w:val="auto"/>
              <w:rPr>
                <w:rFonts w:hint="eastAsia" w:ascii="Times New Roman" w:hAnsi="Times New Roman" w:eastAsia="方正仿宋简体" w:cs="Times New Roman"/>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ascii="Times New Roman" w:hAnsi="Times New Roman" w:eastAsia="楷体"/>
                <w:sz w:val="28"/>
                <w:szCs w:val="28"/>
              </w:rPr>
            </w:pPr>
            <w:r>
              <w:rPr>
                <w:rFonts w:hint="eastAsia" w:ascii="Times New Roman" w:hAnsi="Times New Roman" w:eastAsia="楷体"/>
                <w:sz w:val="28"/>
                <w:szCs w:val="28"/>
              </w:rPr>
              <w:t>（三）优势分析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Times New Roman" w:hAnsi="Times New Roman" w:eastAsia="仿宋_GB2312"/>
                <w:sz w:val="28"/>
                <w:szCs w:val="28"/>
                <w:lang w:eastAsia="zh-CN"/>
              </w:rPr>
              <w:t>重点说明申报单位及主要参与单位在标准实施统计分析渠道、数据、技术、工具、人员等方面的优势，申报单位所在地的产业集聚优势或申报单位所在领域的数据资源整合优势，有关地方或部门对申报单位的经费、政策支持优势</w:t>
            </w:r>
            <w:r>
              <w:rPr>
                <w:rFonts w:hint="eastAsia" w:ascii="Times New Roman" w:hAnsi="Times New Roman" w:eastAsia="方正仿宋简体" w:cs="Times New Roman"/>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Fonts w:hint="eastAsia" w:ascii="Times New Roman" w:hAnsi="Times New Roman" w:eastAsia="方正仿宋简体" w:cs="Times New Roman"/>
                <w:sz w:val="28"/>
                <w:szCs w:val="28"/>
              </w:rPr>
            </w:pPr>
          </w:p>
          <w:p>
            <w:pPr>
              <w:numPr>
                <w:ilvl w:val="0"/>
                <w:numId w:val="0"/>
              </w:numPr>
              <w:spacing w:line="240" w:lineRule="auto"/>
              <w:ind w:firstLine="560" w:firstLineChars="200"/>
              <w:rPr>
                <w:rFonts w:hint="eastAsia" w:ascii="Times New Roman" w:hAnsi="Times New Roman" w:eastAsia="方正仿宋简体" w:cs="Times New Roman"/>
                <w:sz w:val="28"/>
                <w:szCs w:val="28"/>
              </w:rPr>
            </w:pPr>
          </w:p>
        </w:tc>
      </w:tr>
    </w:tbl>
    <w:p>
      <w:pPr>
        <w:spacing w:line="594" w:lineRule="exact"/>
        <w:rPr>
          <w:rFonts w:ascii="Times New Roman" w:hAnsi="Times New Roman" w:eastAsia="黑体"/>
          <w:sz w:val="28"/>
          <w:szCs w:val="28"/>
        </w:rPr>
      </w:pPr>
      <w:r>
        <w:rPr>
          <w:rFonts w:hint="eastAsia" w:ascii="Times New Roman" w:hAnsi="Times New Roman" w:eastAsia="黑体"/>
          <w:sz w:val="28"/>
          <w:szCs w:val="28"/>
        </w:rPr>
        <w:t>三、实施方案</w:t>
      </w:r>
    </w:p>
    <w:tbl>
      <w:tblPr>
        <w:tblStyle w:val="5"/>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9042" w:type="dxa"/>
            <w:noWrap w:val="0"/>
            <w:vAlign w:val="top"/>
          </w:tcPr>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楷体"/>
                <w:sz w:val="28"/>
                <w:szCs w:val="28"/>
              </w:rPr>
            </w:pPr>
            <w:r>
              <w:rPr>
                <w:rFonts w:hint="eastAsia" w:ascii="Times New Roman" w:hAnsi="Times New Roman" w:eastAsia="楷体"/>
                <w:sz w:val="28"/>
                <w:szCs w:val="28"/>
              </w:rPr>
              <w:t>（一）意义</w:t>
            </w:r>
            <w:r>
              <w:rPr>
                <w:rFonts w:hint="eastAsia" w:ascii="Times New Roman" w:hAnsi="Times New Roman" w:eastAsia="楷体"/>
                <w:sz w:val="28"/>
                <w:szCs w:val="28"/>
                <w:lang w:eastAsia="zh-CN"/>
              </w:rPr>
              <w:t>和必要性</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仿宋_GB2312"/>
                <w:sz w:val="28"/>
                <w:szCs w:val="28"/>
                <w:lang w:eastAsia="zh-CN"/>
              </w:rPr>
            </w:pPr>
            <w:r>
              <w:rPr>
                <w:rFonts w:hint="eastAsia" w:ascii="Times New Roman" w:hAnsi="Times New Roman" w:eastAsia="方正仿宋简体" w:cs="Times New Roman"/>
                <w:sz w:val="28"/>
                <w:szCs w:val="28"/>
              </w:rPr>
              <w:t>【</w:t>
            </w:r>
            <w:r>
              <w:rPr>
                <w:rFonts w:hint="eastAsia" w:ascii="Times New Roman" w:hAnsi="Times New Roman" w:eastAsia="仿宋_GB2312"/>
                <w:sz w:val="28"/>
                <w:szCs w:val="28"/>
                <w:lang w:eastAsia="zh-CN"/>
              </w:rPr>
              <w:t>围绕支撑的产业或领域对标准化的需求，说明当前强制性标准实施存在的问题和建设统计分析点的必要性、紧迫性，重点突出当地产业集聚区或行业领域对强化标准实施、开展标准化服务的需求</w:t>
            </w:r>
            <w:r>
              <w:rPr>
                <w:rFonts w:hint="eastAsia" w:ascii="Times New Roman" w:hAnsi="Times New Roman" w:eastAsia="方正仿宋简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楷体"/>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楷体"/>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ascii="Times New Roman" w:hAnsi="Times New Roman" w:eastAsia="楷体"/>
                <w:sz w:val="28"/>
                <w:szCs w:val="28"/>
              </w:rPr>
            </w:pPr>
            <w:r>
              <w:rPr>
                <w:rFonts w:hint="eastAsia" w:ascii="Times New Roman" w:hAnsi="Times New Roman" w:eastAsia="楷体"/>
                <w:sz w:val="28"/>
                <w:szCs w:val="28"/>
              </w:rPr>
              <w:t>（二）建设目标</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Times New Roman" w:hAnsi="Times New Roman" w:eastAsia="仿宋_GB2312"/>
                <w:sz w:val="28"/>
                <w:szCs w:val="28"/>
              </w:rPr>
              <w:t>提出</w:t>
            </w:r>
            <w:r>
              <w:rPr>
                <w:rFonts w:ascii="Times New Roman" w:hAnsi="Times New Roman" w:eastAsia="仿宋_GB2312"/>
                <w:sz w:val="28"/>
                <w:szCs w:val="28"/>
              </w:rPr>
              <w:t>统计分析点</w:t>
            </w:r>
            <w:r>
              <w:rPr>
                <w:rFonts w:hint="eastAsia" w:ascii="Times New Roman" w:hAnsi="Times New Roman" w:eastAsia="仿宋_GB2312"/>
                <w:sz w:val="28"/>
                <w:szCs w:val="28"/>
                <w:lang w:eastAsia="zh-CN"/>
              </w:rPr>
              <w:t>建设的总体目标以及具体目标，具体目标</w:t>
            </w:r>
            <w:r>
              <w:rPr>
                <w:rFonts w:hint="eastAsia" w:ascii="Times New Roman" w:hAnsi="Times New Roman" w:eastAsia="仿宋_GB2312"/>
                <w:sz w:val="28"/>
                <w:szCs w:val="28"/>
              </w:rPr>
              <w:t>包括但不限于强制性国家标准</w:t>
            </w:r>
            <w:r>
              <w:rPr>
                <w:rFonts w:hint="eastAsia" w:ascii="Times New Roman" w:hAnsi="Times New Roman" w:eastAsia="仿宋_GB2312"/>
                <w:sz w:val="28"/>
                <w:szCs w:val="28"/>
                <w:lang w:eastAsia="zh-CN"/>
              </w:rPr>
              <w:t>实施情况</w:t>
            </w:r>
            <w:r>
              <w:rPr>
                <w:rFonts w:hint="eastAsia" w:ascii="Times New Roman" w:hAnsi="Times New Roman" w:eastAsia="仿宋_GB2312"/>
                <w:sz w:val="28"/>
                <w:szCs w:val="28"/>
              </w:rPr>
              <w:t>统计分析、宣贯培训、技术服务、数据获取渠道建设、数据库建设、专家团队建设，以及统计分析点的制度建设、人员培训等方面的内容</w:t>
            </w:r>
            <w:r>
              <w:rPr>
                <w:rFonts w:ascii="Calibri" w:hAnsi="Calibri" w:eastAsia="宋体"/>
                <w:kern w:val="2"/>
                <w:sz w:val="28"/>
                <w:szCs w:val="28"/>
                <w:lang w:val="en-US" w:eastAsia="zh-CN" w:bidi="ar-SA"/>
              </w:rPr>
              <w:t>。</w:t>
            </w:r>
            <w:r>
              <w:rPr>
                <w:rFonts w:hint="eastAsia" w:ascii="Times New Roman" w:hAnsi="Times New Roman" w:eastAsia="仿宋_GB2312"/>
                <w:kern w:val="2"/>
                <w:sz w:val="28"/>
                <w:szCs w:val="28"/>
                <w:lang w:val="en-US" w:eastAsia="zh-CN" w:bidi="ar-SA"/>
              </w:rPr>
              <w:t>建设目标要与重点任务相衔接，做到量化可考核</w:t>
            </w:r>
            <w:r>
              <w:rPr>
                <w:rFonts w:hint="eastAsia" w:ascii="Times New Roman" w:hAnsi="Times New Roman" w:eastAsia="方正仿宋简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楷体"/>
                <w:sz w:val="28"/>
                <w:szCs w:val="28"/>
              </w:rPr>
            </w:pPr>
            <w:r>
              <w:rPr>
                <w:rFonts w:hint="eastAsia" w:ascii="Times New Roman" w:hAnsi="Times New Roman" w:eastAsia="楷体"/>
                <w:sz w:val="28"/>
                <w:szCs w:val="28"/>
              </w:rPr>
              <w:t>（三）</w:t>
            </w:r>
            <w:r>
              <w:rPr>
                <w:rFonts w:hint="eastAsia" w:ascii="Times New Roman" w:hAnsi="Times New Roman" w:eastAsia="楷体"/>
                <w:sz w:val="28"/>
                <w:szCs w:val="28"/>
                <w:lang w:eastAsia="zh-CN"/>
              </w:rPr>
              <w:t>重点任务</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ascii="Calibri" w:hAnsi="Calibri" w:eastAsia="仿宋_GB2312"/>
                <w:kern w:val="2"/>
                <w:sz w:val="28"/>
                <w:szCs w:val="28"/>
                <w:lang w:val="en-US" w:eastAsia="zh-CN" w:bidi="ar-SA"/>
              </w:rPr>
              <w:t>对照申报指南中的建设任务，</w:t>
            </w:r>
            <w:r>
              <w:rPr>
                <w:rFonts w:hint="eastAsia" w:ascii="Times New Roman" w:hAnsi="Times New Roman" w:eastAsia="仿宋_GB2312"/>
                <w:sz w:val="28"/>
                <w:szCs w:val="28"/>
              </w:rPr>
              <w:t>落实建设目标，细化各项任务，应包括但不限于统计分析渠道建设、数据获取和数据</w:t>
            </w:r>
            <w:r>
              <w:rPr>
                <w:rFonts w:hint="eastAsia" w:ascii="Times New Roman" w:hAnsi="Times New Roman" w:eastAsia="仿宋_GB2312"/>
                <w:sz w:val="28"/>
                <w:szCs w:val="28"/>
                <w:lang w:eastAsia="zh-CN"/>
              </w:rPr>
              <w:t>库</w:t>
            </w:r>
            <w:r>
              <w:rPr>
                <w:rFonts w:hint="eastAsia" w:ascii="Times New Roman" w:hAnsi="Times New Roman" w:eastAsia="仿宋_GB2312"/>
                <w:sz w:val="28"/>
                <w:szCs w:val="28"/>
              </w:rPr>
              <w:t>建设、标准实施统计分析方案编制、标准实施统计分析及报告编制、统计分析专家团队组建、标准实施服务、能力提升建设等</w:t>
            </w:r>
            <w:r>
              <w:rPr>
                <w:rFonts w:hint="eastAsia" w:ascii="Times New Roman" w:hAnsi="Times New Roman" w:eastAsia="方正仿宋简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楷体"/>
                <w:sz w:val="28"/>
                <w:szCs w:val="28"/>
                <w:lang w:eastAsia="zh-CN"/>
              </w:rPr>
            </w:pPr>
            <w:r>
              <w:rPr>
                <w:rFonts w:hint="eastAsia" w:ascii="Times New Roman" w:hAnsi="Times New Roman" w:eastAsia="楷体"/>
                <w:sz w:val="28"/>
                <w:szCs w:val="28"/>
                <w:lang w:eastAsia="zh-CN"/>
              </w:rPr>
              <w:t>（四）进度计划</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r>
              <w:rPr>
                <w:rFonts w:hint="eastAsia" w:ascii="Times New Roman" w:hAnsi="Times New Roman" w:eastAsia="方正仿宋简体"/>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说明重点任务的落实进度、年度及重点节点安排等</w:t>
            </w:r>
            <w:r>
              <w:rPr>
                <w:rFonts w:hint="eastAsia" w:ascii="Times New Roman" w:hAnsi="Times New Roman" w:eastAsia="方正仿宋简体"/>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jc w:val="both"/>
              <w:textAlignment w:val="auto"/>
              <w:rPr>
                <w:rFonts w:hint="eastAsia" w:ascii="楷体" w:hAnsi="楷体" w:eastAsia="楷体" w:cs="楷体"/>
                <w:kern w:val="2"/>
                <w:sz w:val="28"/>
                <w:szCs w:val="28"/>
                <w:lang w:val="en-US" w:eastAsia="zh-CN" w:bidi="ar-SA"/>
              </w:rPr>
            </w:pPr>
            <w:r>
              <w:rPr>
                <w:rFonts w:hint="eastAsia" w:ascii="楷体" w:hAnsi="楷体" w:eastAsia="楷体" w:cs="楷体"/>
                <w:sz w:val="28"/>
                <w:szCs w:val="28"/>
                <w:lang w:eastAsia="zh-CN"/>
              </w:rPr>
              <w:t>（五）</w:t>
            </w:r>
            <w:r>
              <w:rPr>
                <w:rFonts w:hint="eastAsia" w:ascii="楷体" w:hAnsi="楷体" w:eastAsia="楷体" w:cs="楷体"/>
                <w:kern w:val="2"/>
                <w:sz w:val="28"/>
                <w:szCs w:val="28"/>
                <w:lang w:val="en-US" w:eastAsia="zh-CN" w:bidi="ar-SA"/>
              </w:rPr>
              <w:t>保障措施</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default" w:ascii="仿宋_GB2312" w:hAnsi="仿宋_GB2312" w:eastAsia="仿宋_GB2312" w:cs="仿宋_GB2312"/>
                <w:kern w:val="2"/>
                <w:sz w:val="28"/>
                <w:szCs w:val="28"/>
                <w:lang w:val="en-US" w:eastAsia="zh-CN" w:bidi="ar-SA"/>
              </w:rPr>
            </w:pPr>
            <w:r>
              <w:rPr>
                <w:rFonts w:hint="default" w:ascii="Times New Roman" w:hAnsi="Times New Roman" w:eastAsia="方正仿宋简体" w:cs="Times New Roman"/>
                <w:kern w:val="2"/>
                <w:sz w:val="28"/>
                <w:szCs w:val="28"/>
                <w:lang w:val="en-US" w:eastAsia="zh-CN" w:bidi="ar-SA"/>
              </w:rPr>
              <w:t>1.</w:t>
            </w:r>
            <w:r>
              <w:rPr>
                <w:rFonts w:hint="eastAsia" w:ascii="仿宋_GB2312" w:hAnsi="仿宋_GB2312" w:eastAsia="仿宋_GB2312" w:cs="仿宋_GB2312"/>
                <w:kern w:val="2"/>
                <w:sz w:val="28"/>
                <w:szCs w:val="28"/>
                <w:lang w:val="en-US" w:eastAsia="zh-CN" w:bidi="ar-SA"/>
              </w:rPr>
              <w:t>组织保障</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r>
              <w:rPr>
                <w:rFonts w:hint="eastAsia" w:ascii="Times New Roman" w:hAnsi="Times New Roman" w:eastAsia="方正仿宋简体"/>
                <w:kern w:val="2"/>
                <w:sz w:val="28"/>
                <w:szCs w:val="28"/>
                <w:lang w:val="en-US" w:eastAsia="zh-CN" w:bidi="ar-SA"/>
              </w:rPr>
              <w:t>【</w:t>
            </w:r>
            <w:r>
              <w:rPr>
                <w:rFonts w:hint="eastAsia" w:ascii="仿宋_GB2312" w:hAnsi="仿宋_GB2312" w:eastAsia="仿宋_GB2312" w:cs="仿宋_GB2312"/>
                <w:kern w:val="2"/>
                <w:sz w:val="28"/>
                <w:szCs w:val="28"/>
                <w:lang w:val="en-US" w:eastAsia="zh-CN" w:bidi="ar-SA"/>
              </w:rPr>
              <w:t>说明统计分析点的组织管理方式、协调机制等</w:t>
            </w:r>
            <w:r>
              <w:rPr>
                <w:rFonts w:hint="eastAsia" w:ascii="Times New Roman" w:hAnsi="Times New Roman" w:eastAsia="方正仿宋简体"/>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2.</w:t>
            </w:r>
            <w:r>
              <w:rPr>
                <w:rFonts w:hint="eastAsia" w:ascii="仿宋_GB2312" w:hAnsi="仿宋_GB2312" w:eastAsia="仿宋_GB2312" w:cs="仿宋_GB2312"/>
                <w:kern w:val="2"/>
                <w:sz w:val="28"/>
                <w:szCs w:val="28"/>
                <w:lang w:val="en-US" w:eastAsia="zh-CN" w:bidi="ar-SA"/>
              </w:rPr>
              <w:t>政策保障</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仿宋_GB2312" w:hAnsi="仿宋_GB2312" w:eastAsia="仿宋_GB2312" w:cs="仿宋_GB2312"/>
                <w:sz w:val="28"/>
                <w:szCs w:val="28"/>
              </w:rPr>
              <w:t>说明推荐单位</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申报单位</w:t>
            </w:r>
            <w:r>
              <w:rPr>
                <w:rFonts w:hint="eastAsia" w:ascii="仿宋_GB2312" w:hAnsi="仿宋_GB2312" w:eastAsia="仿宋_GB2312" w:cs="仿宋_GB2312"/>
                <w:sz w:val="28"/>
                <w:szCs w:val="28"/>
                <w:lang w:eastAsia="zh-CN"/>
              </w:rPr>
              <w:t>以及地方政府</w:t>
            </w:r>
            <w:r>
              <w:rPr>
                <w:rFonts w:hint="eastAsia" w:ascii="仿宋_GB2312" w:hAnsi="仿宋_GB2312" w:eastAsia="仿宋_GB2312" w:cs="仿宋_GB2312"/>
                <w:sz w:val="28"/>
                <w:szCs w:val="28"/>
              </w:rPr>
              <w:t>对</w:t>
            </w:r>
            <w:r>
              <w:rPr>
                <w:rFonts w:hint="eastAsia" w:ascii="仿宋_GB2312" w:hAnsi="仿宋_GB2312" w:eastAsia="仿宋_GB2312" w:cs="仿宋_GB2312"/>
                <w:sz w:val="28"/>
                <w:szCs w:val="28"/>
                <w:lang w:eastAsia="zh-CN"/>
              </w:rPr>
              <w:t>统计分析点</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lang w:eastAsia="zh-CN"/>
              </w:rPr>
              <w:t>人才、科研、标准化、数据获取等</w:t>
            </w:r>
            <w:r>
              <w:rPr>
                <w:rFonts w:hint="eastAsia" w:ascii="仿宋_GB2312" w:hAnsi="仿宋_GB2312" w:eastAsia="仿宋_GB2312" w:cs="仿宋_GB2312"/>
                <w:sz w:val="28"/>
                <w:szCs w:val="28"/>
              </w:rPr>
              <w:t>政策</w:t>
            </w:r>
            <w:r>
              <w:rPr>
                <w:rFonts w:hint="eastAsia" w:ascii="仿宋_GB2312" w:hAnsi="仿宋_GB2312" w:eastAsia="仿宋_GB2312" w:cs="仿宋_GB2312"/>
                <w:sz w:val="28"/>
                <w:szCs w:val="28"/>
                <w:lang w:eastAsia="zh-CN"/>
              </w:rPr>
              <w:t>保障</w:t>
            </w:r>
            <w:r>
              <w:rPr>
                <w:rFonts w:hint="eastAsia" w:ascii="仿宋_GB2312" w:hAnsi="仿宋_GB2312" w:eastAsia="仿宋_GB2312" w:cs="仿宋_GB2312"/>
                <w:sz w:val="28"/>
                <w:szCs w:val="28"/>
              </w:rPr>
              <w:t>情况</w:t>
            </w:r>
            <w:r>
              <w:rPr>
                <w:rFonts w:hint="eastAsia" w:ascii="Times New Roman" w:hAnsi="Times New Roman" w:eastAsia="方正仿宋简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default" w:ascii="仿宋_GB2312" w:hAnsi="仿宋_GB2312" w:eastAsia="仿宋_GB2312" w:cs="仿宋_GB2312"/>
                <w:kern w:val="2"/>
                <w:sz w:val="28"/>
                <w:szCs w:val="28"/>
                <w:lang w:val="en-US" w:eastAsia="zh-CN" w:bidi="ar-SA"/>
              </w:rPr>
            </w:pPr>
            <w:r>
              <w:rPr>
                <w:rFonts w:hint="default" w:ascii="Times New Roman" w:hAnsi="Times New Roman" w:eastAsia="仿宋_GB2312" w:cs="Times New Roman"/>
                <w:kern w:val="2"/>
                <w:sz w:val="28"/>
                <w:szCs w:val="28"/>
                <w:lang w:val="en-US" w:eastAsia="zh-CN" w:bidi="ar-SA"/>
              </w:rPr>
              <w:t>3.</w:t>
            </w:r>
            <w:r>
              <w:rPr>
                <w:rFonts w:hint="eastAsia" w:ascii="仿宋_GB2312" w:hAnsi="仿宋_GB2312" w:eastAsia="仿宋_GB2312" w:cs="仿宋_GB2312"/>
                <w:kern w:val="2"/>
                <w:sz w:val="28"/>
                <w:szCs w:val="28"/>
                <w:lang w:val="en-US" w:eastAsia="zh-CN" w:bidi="ar-SA"/>
              </w:rPr>
              <w:t>资金保障</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r>
              <w:rPr>
                <w:rFonts w:hint="eastAsia" w:ascii="Times New Roman" w:hAnsi="Times New Roman" w:eastAsia="方正仿宋简体" w:cs="Times New Roman"/>
                <w:sz w:val="28"/>
                <w:szCs w:val="28"/>
              </w:rPr>
              <w:t>【</w:t>
            </w:r>
            <w:r>
              <w:rPr>
                <w:rFonts w:hint="eastAsia" w:ascii="仿宋_GB2312" w:hAnsi="仿宋_GB2312" w:eastAsia="仿宋_GB2312" w:cs="仿宋_GB2312"/>
                <w:sz w:val="28"/>
                <w:szCs w:val="28"/>
                <w:lang w:eastAsia="zh-CN"/>
              </w:rPr>
              <w:t>说明推荐单位、申报单位以及地方政府拟对统计分析点的资金支持情况</w:t>
            </w:r>
            <w:r>
              <w:rPr>
                <w:rFonts w:hint="eastAsia" w:ascii="Times New Roman" w:hAnsi="Times New Roman" w:eastAsia="方正仿宋简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614" w:lineRule="exact"/>
              <w:ind w:firstLine="560" w:firstLineChars="200"/>
              <w:textAlignment w:val="auto"/>
              <w:rPr>
                <w:rFonts w:hint="eastAsia" w:ascii="Times New Roman" w:hAnsi="Times New Roman" w:eastAsia="方正仿宋简体" w:cs="Times New Roman"/>
                <w:sz w:val="28"/>
                <w:szCs w:val="28"/>
              </w:rPr>
            </w:pPr>
          </w:p>
          <w:p>
            <w:pPr>
              <w:spacing w:line="594" w:lineRule="exact"/>
              <w:ind w:firstLine="480" w:firstLineChars="200"/>
              <w:rPr>
                <w:rFonts w:ascii="Times New Roman" w:hAnsi="Times New Roman"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jc w:val="center"/>
        </w:trPr>
        <w:tc>
          <w:tcPr>
            <w:tcW w:w="9042" w:type="dxa"/>
            <w:noWrap w:val="0"/>
            <w:vAlign w:val="top"/>
          </w:tcPr>
          <w:p>
            <w:pPr>
              <w:spacing w:line="594" w:lineRule="exact"/>
              <w:rPr>
                <w:rFonts w:ascii="Times New Roman" w:hAnsi="Times New Roman" w:eastAsia="黑体"/>
                <w:sz w:val="28"/>
                <w:szCs w:val="28"/>
              </w:rPr>
            </w:pPr>
            <w:r>
              <w:rPr>
                <w:rFonts w:hint="eastAsia" w:ascii="Times New Roman" w:hAnsi="Times New Roman" w:eastAsia="黑体"/>
                <w:sz w:val="28"/>
                <w:szCs w:val="28"/>
              </w:rPr>
              <w:t>四、申报单位意见</w:t>
            </w:r>
          </w:p>
          <w:p>
            <w:pPr>
              <w:spacing w:line="594" w:lineRule="exact"/>
              <w:ind w:firstLine="6240" w:firstLineChars="2600"/>
              <w:jc w:val="left"/>
              <w:rPr>
                <w:rFonts w:ascii="Times New Roman" w:hAnsi="Times New Roman" w:eastAsia="仿宋_GB2312"/>
                <w:sz w:val="24"/>
              </w:rPr>
            </w:pPr>
            <w:r>
              <w:rPr>
                <w:rFonts w:hint="eastAsia" w:ascii="Times New Roman" w:hAnsi="Times New Roman" w:eastAsia="仿宋_GB2312"/>
                <w:sz w:val="24"/>
              </w:rPr>
              <w:t xml:space="preserve">负责人： </w:t>
            </w:r>
          </w:p>
          <w:p>
            <w:pPr>
              <w:spacing w:line="594" w:lineRule="exact"/>
              <w:ind w:firstLine="6120" w:firstLineChars="2550"/>
              <w:jc w:val="left"/>
              <w:rPr>
                <w:rFonts w:ascii="Times New Roman" w:hAnsi="Times New Roman" w:eastAsia="仿宋_GB2312"/>
                <w:sz w:val="24"/>
              </w:rPr>
            </w:pPr>
            <w:r>
              <w:rPr>
                <w:rFonts w:hint="eastAsia" w:ascii="Times New Roman" w:hAnsi="Times New Roman" w:eastAsia="仿宋_GB2312"/>
                <w:sz w:val="24"/>
              </w:rPr>
              <w:t xml:space="preserve">（盖章） </w:t>
            </w:r>
          </w:p>
          <w:p>
            <w:pPr>
              <w:spacing w:line="594" w:lineRule="exact"/>
              <w:jc w:val="left"/>
              <w:rPr>
                <w:rFonts w:ascii="Times New Roman" w:hAnsi="Times New Roman" w:eastAsia="方正仿宋简体"/>
                <w:sz w:val="24"/>
              </w:rPr>
            </w:pPr>
            <w:r>
              <w:rPr>
                <w:rFonts w:hint="eastAsia" w:ascii="Times New Roman" w:hAnsi="Times New Roman" w:eastAsia="仿宋_GB2312"/>
                <w:sz w:val="24"/>
              </w:rPr>
              <w:t xml:space="preserve">                                  </w:t>
            </w:r>
            <w:r>
              <w:rPr>
                <w:rFonts w:ascii="Times New Roman" w:hAnsi="Times New Roman" w:eastAsia="仿宋_GB2312"/>
                <w:sz w:val="24"/>
              </w:rPr>
              <w:t xml:space="preserve">        </w:t>
            </w:r>
            <w:r>
              <w:rPr>
                <w:rFonts w:hint="eastAsia" w:ascii="Times New Roman" w:hAnsi="Times New Roman" w:eastAsia="仿宋_GB2312"/>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9042" w:type="dxa"/>
            <w:noWrap w:val="0"/>
            <w:vAlign w:val="top"/>
          </w:tcPr>
          <w:p>
            <w:pPr>
              <w:spacing w:line="594" w:lineRule="exact"/>
              <w:rPr>
                <w:rFonts w:ascii="Times New Roman" w:hAnsi="Times New Roman" w:eastAsia="黑体"/>
                <w:sz w:val="28"/>
                <w:szCs w:val="28"/>
              </w:rPr>
            </w:pPr>
            <w:r>
              <w:rPr>
                <w:rFonts w:hint="eastAsia" w:ascii="Times New Roman" w:hAnsi="Times New Roman" w:eastAsia="黑体"/>
                <w:sz w:val="28"/>
                <w:szCs w:val="28"/>
              </w:rPr>
              <w:t>五、推荐单位意见</w:t>
            </w:r>
          </w:p>
          <w:p>
            <w:pPr>
              <w:wordWrap w:val="0"/>
              <w:spacing w:line="594" w:lineRule="exact"/>
              <w:ind w:right="240" w:firstLine="2160" w:firstLineChars="900"/>
              <w:jc w:val="right"/>
              <w:rPr>
                <w:rFonts w:ascii="Times New Roman" w:hAnsi="Times New Roman" w:eastAsia="仿宋_GB2312"/>
                <w:sz w:val="24"/>
              </w:rPr>
            </w:pPr>
          </w:p>
          <w:p>
            <w:pPr>
              <w:wordWrap w:val="0"/>
              <w:spacing w:line="594" w:lineRule="exact"/>
              <w:ind w:firstLine="2160" w:firstLineChars="900"/>
              <w:jc w:val="right"/>
              <w:rPr>
                <w:rFonts w:ascii="Times New Roman" w:hAnsi="Times New Roman" w:eastAsia="仿宋_GB2312"/>
                <w:sz w:val="24"/>
              </w:rPr>
            </w:pPr>
            <w:r>
              <w:rPr>
                <w:rFonts w:hint="eastAsia" w:ascii="Times New Roman" w:hAnsi="Times New Roman" w:eastAsia="仿宋_GB2312"/>
                <w:sz w:val="24"/>
              </w:rPr>
              <w:t xml:space="preserve"> （盖章） </w:t>
            </w:r>
            <w:r>
              <w:rPr>
                <w:rFonts w:ascii="Times New Roman" w:hAnsi="Times New Roman" w:eastAsia="仿宋_GB2312"/>
                <w:sz w:val="24"/>
              </w:rPr>
              <w:t xml:space="preserve">         </w:t>
            </w:r>
          </w:p>
          <w:p>
            <w:pPr>
              <w:spacing w:line="594" w:lineRule="exact"/>
              <w:rPr>
                <w:rFonts w:ascii="Times New Roman" w:hAnsi="Times New Roman" w:eastAsia="方正仿宋简体"/>
                <w:sz w:val="24"/>
              </w:rPr>
            </w:pPr>
            <w:r>
              <w:rPr>
                <w:rFonts w:hint="eastAsia" w:ascii="Times New Roman" w:hAnsi="Times New Roman" w:eastAsia="仿宋_GB2312"/>
                <w:sz w:val="24"/>
              </w:rPr>
              <w:t xml:space="preserve">                                </w:t>
            </w:r>
            <w:r>
              <w:rPr>
                <w:rFonts w:ascii="Times New Roman" w:hAnsi="Times New Roman" w:eastAsia="仿宋_GB2312"/>
                <w:sz w:val="24"/>
              </w:rPr>
              <w:t xml:space="preserve">      </w:t>
            </w:r>
            <w:r>
              <w:rPr>
                <w:rFonts w:hint="eastAsia" w:ascii="Times New Roman" w:hAnsi="Times New Roman" w:eastAsia="仿宋_GB2312"/>
                <w:sz w:val="24"/>
              </w:rPr>
              <w:t xml:space="preserve">              年    月    日</w:t>
            </w:r>
          </w:p>
        </w:tc>
      </w:tr>
    </w:tbl>
    <w:p>
      <w:pPr>
        <w:widowControl/>
        <w:jc w:val="left"/>
        <w:rPr>
          <w:rFonts w:ascii="Times New Roman" w:hAnsi="Times New Roman" w:eastAsia="方正小标宋简体"/>
          <w:sz w:val="36"/>
          <w:szCs w:val="36"/>
        </w:rPr>
        <w:sectPr>
          <w:pgSz w:w="11906" w:h="16838"/>
          <w:pgMar w:top="1984" w:right="1474" w:bottom="1644" w:left="1474" w:header="851" w:footer="1191" w:gutter="0"/>
          <w:paperSrc/>
          <w:pgNumType w:fmt="decimal"/>
          <w:cols w:space="720" w:num="1"/>
          <w:rtlGutter w:val="0"/>
          <w:docGrid w:type="lines" w:linePitch="312" w:charSpace="0"/>
        </w:sectPr>
      </w:pPr>
    </w:p>
    <w:p>
      <w:pPr>
        <w:widowControl/>
        <w:rPr>
          <w:rFonts w:ascii="Times New Roman" w:hAnsi="Times New Roman" w:eastAsia="黑体"/>
          <w:sz w:val="32"/>
          <w:szCs w:val="32"/>
        </w:rPr>
      </w:pPr>
      <w:r>
        <w:rPr>
          <w:rFonts w:hint="eastAsia" w:ascii="Times New Roman" w:hAnsi="Times New Roman" w:eastAsia="黑体"/>
          <w:sz w:val="32"/>
          <w:szCs w:val="32"/>
        </w:rPr>
        <w:t>附件3</w:t>
      </w:r>
    </w:p>
    <w:p>
      <w:pPr>
        <w:widowControl/>
        <w:adjustRightInd w:val="0"/>
        <w:snapToGrid w:val="0"/>
        <w:jc w:val="center"/>
        <w:rPr>
          <w:rFonts w:hint="eastAsia" w:ascii="Times New Roman" w:hAnsi="Times New Roman" w:eastAsia="方正小标宋简体"/>
          <w:sz w:val="36"/>
          <w:szCs w:val="36"/>
        </w:rPr>
      </w:pPr>
    </w:p>
    <w:p>
      <w:pPr>
        <w:widowControl/>
        <w:adjustRightInd w:val="0"/>
        <w:snapToGrid w:val="0"/>
        <w:jc w:val="center"/>
        <w:rPr>
          <w:rFonts w:ascii="Times New Roman" w:hAnsi="Times New Roman" w:eastAsia="仿宋"/>
          <w:sz w:val="36"/>
          <w:szCs w:val="36"/>
        </w:rPr>
      </w:pPr>
      <w:r>
        <w:rPr>
          <w:rFonts w:hint="eastAsia" w:ascii="Times New Roman" w:hAnsi="Times New Roman" w:eastAsia="方正小标宋简体"/>
          <w:sz w:val="36"/>
          <w:szCs w:val="36"/>
        </w:rPr>
        <w:t>强制性国家标准实施情况统计分析点推荐申报汇总表</w:t>
      </w:r>
    </w:p>
    <w:p>
      <w:pPr>
        <w:widowControl/>
        <w:jc w:val="left"/>
        <w:rPr>
          <w:rFonts w:hint="eastAsia" w:ascii="Times New Roman" w:hAnsi="Times New Roman" w:eastAsia="仿宋"/>
          <w:sz w:val="32"/>
          <w:szCs w:val="32"/>
        </w:rPr>
      </w:pPr>
    </w:p>
    <w:p>
      <w:pPr>
        <w:widowControl/>
        <w:jc w:val="left"/>
        <w:rPr>
          <w:rFonts w:ascii="Times New Roman" w:hAnsi="Times New Roman" w:eastAsia="仿宋"/>
          <w:sz w:val="32"/>
          <w:szCs w:val="32"/>
        </w:rPr>
      </w:pPr>
      <w:r>
        <w:rPr>
          <w:rFonts w:hint="eastAsia" w:ascii="Times New Roman" w:hAnsi="Times New Roman" w:eastAsia="仿宋"/>
          <w:sz w:val="32"/>
          <w:szCs w:val="32"/>
        </w:rPr>
        <w:t>推荐单位：</w:t>
      </w:r>
      <w:r>
        <w:rPr>
          <w:rFonts w:ascii="Times New Roman" w:hAnsi="Times New Roman" w:eastAsia="仿宋"/>
          <w:sz w:val="32"/>
          <w:szCs w:val="32"/>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 xml:space="preserve">  </w:t>
      </w:r>
      <w:r>
        <w:rPr>
          <w:rFonts w:hint="eastAsia" w:ascii="Times New Roman" w:hAnsi="Times New Roman" w:eastAsia="仿宋"/>
          <w:sz w:val="32"/>
          <w:szCs w:val="32"/>
        </w:rPr>
        <w:t>（盖章）</w:t>
      </w:r>
    </w:p>
    <w:tbl>
      <w:tblPr>
        <w:tblStyle w:val="5"/>
        <w:tblpPr w:leftFromText="180" w:rightFromText="180" w:vertAnchor="text" w:horzAnchor="page" w:tblpX="1686" w:tblpY="585"/>
        <w:tblOverlap w:val="never"/>
        <w:tblW w:w="486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889"/>
        <w:gridCol w:w="3150"/>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pct"/>
            <w:noWrap w:val="0"/>
            <w:vAlign w:val="top"/>
          </w:tcPr>
          <w:p>
            <w:pPr>
              <w:widowControl/>
              <w:jc w:val="center"/>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序号</w:t>
            </w:r>
          </w:p>
        </w:tc>
        <w:tc>
          <w:tcPr>
            <w:tcW w:w="1619" w:type="pct"/>
            <w:noWrap w:val="0"/>
            <w:vAlign w:val="top"/>
          </w:tcPr>
          <w:p>
            <w:pPr>
              <w:widowControl/>
              <w:jc w:val="center"/>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统计分析点名称</w:t>
            </w:r>
          </w:p>
        </w:tc>
        <w:tc>
          <w:tcPr>
            <w:tcW w:w="1765" w:type="pct"/>
            <w:noWrap w:val="0"/>
            <w:vAlign w:val="top"/>
          </w:tcPr>
          <w:p>
            <w:pPr>
              <w:widowControl/>
              <w:jc w:val="center"/>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申报单位</w:t>
            </w:r>
          </w:p>
        </w:tc>
        <w:tc>
          <w:tcPr>
            <w:tcW w:w="1095" w:type="pct"/>
            <w:noWrap w:val="0"/>
            <w:vAlign w:val="top"/>
          </w:tcPr>
          <w:p>
            <w:pPr>
              <w:widowControl/>
              <w:jc w:val="center"/>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负责领域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19" w:type="pct"/>
            <w:noWrap w:val="0"/>
            <w:vAlign w:val="top"/>
          </w:tcPr>
          <w:p>
            <w:pPr>
              <w:widowControl/>
              <w:jc w:val="left"/>
              <w:rPr>
                <w:rFonts w:ascii="仿宋_GB2312" w:hAnsi="仿宋_GB2312" w:eastAsia="仿宋_GB2312" w:cs="仿宋_GB2312"/>
                <w:sz w:val="32"/>
                <w:szCs w:val="32"/>
              </w:rPr>
            </w:pPr>
          </w:p>
        </w:tc>
        <w:tc>
          <w:tcPr>
            <w:tcW w:w="1619" w:type="pct"/>
            <w:noWrap w:val="0"/>
            <w:vAlign w:val="top"/>
          </w:tcPr>
          <w:p>
            <w:pPr>
              <w:widowControl/>
              <w:jc w:val="left"/>
              <w:rPr>
                <w:rFonts w:ascii="仿宋_GB2312" w:hAnsi="仿宋_GB2312" w:eastAsia="仿宋_GB2312" w:cs="仿宋_GB2312"/>
                <w:sz w:val="32"/>
                <w:szCs w:val="32"/>
              </w:rPr>
            </w:pPr>
          </w:p>
        </w:tc>
        <w:tc>
          <w:tcPr>
            <w:tcW w:w="1765" w:type="pct"/>
            <w:noWrap w:val="0"/>
            <w:vAlign w:val="top"/>
          </w:tcPr>
          <w:p>
            <w:pPr>
              <w:widowControl/>
              <w:jc w:val="left"/>
              <w:rPr>
                <w:rFonts w:ascii="仿宋_GB2312" w:hAnsi="仿宋_GB2312" w:eastAsia="仿宋_GB2312" w:cs="仿宋_GB2312"/>
                <w:sz w:val="32"/>
                <w:szCs w:val="32"/>
              </w:rPr>
            </w:pPr>
          </w:p>
        </w:tc>
        <w:tc>
          <w:tcPr>
            <w:tcW w:w="1095" w:type="pct"/>
            <w:noWrap w:val="0"/>
            <w:vAlign w:val="top"/>
          </w:tcPr>
          <w:p>
            <w:pPr>
              <w:widowControl/>
              <w:jc w:val="lef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519" w:type="pct"/>
            <w:noWrap w:val="0"/>
            <w:vAlign w:val="top"/>
          </w:tcPr>
          <w:p>
            <w:pPr>
              <w:widowControl/>
              <w:jc w:val="left"/>
              <w:rPr>
                <w:rFonts w:ascii="仿宋_GB2312" w:hAnsi="仿宋_GB2312" w:eastAsia="仿宋_GB2312" w:cs="仿宋_GB2312"/>
                <w:sz w:val="32"/>
                <w:szCs w:val="32"/>
              </w:rPr>
            </w:pPr>
          </w:p>
        </w:tc>
        <w:tc>
          <w:tcPr>
            <w:tcW w:w="1619" w:type="pct"/>
            <w:noWrap w:val="0"/>
            <w:vAlign w:val="top"/>
          </w:tcPr>
          <w:p>
            <w:pPr>
              <w:widowControl/>
              <w:jc w:val="left"/>
              <w:rPr>
                <w:rFonts w:ascii="仿宋_GB2312" w:hAnsi="仿宋_GB2312" w:eastAsia="仿宋_GB2312" w:cs="仿宋_GB2312"/>
                <w:sz w:val="32"/>
                <w:szCs w:val="32"/>
              </w:rPr>
            </w:pPr>
          </w:p>
        </w:tc>
        <w:tc>
          <w:tcPr>
            <w:tcW w:w="1765" w:type="pct"/>
            <w:noWrap w:val="0"/>
            <w:vAlign w:val="top"/>
          </w:tcPr>
          <w:p>
            <w:pPr>
              <w:widowControl/>
              <w:jc w:val="left"/>
              <w:rPr>
                <w:rFonts w:ascii="仿宋_GB2312" w:hAnsi="仿宋_GB2312" w:eastAsia="仿宋_GB2312" w:cs="仿宋_GB2312"/>
                <w:sz w:val="32"/>
                <w:szCs w:val="32"/>
              </w:rPr>
            </w:pPr>
          </w:p>
        </w:tc>
        <w:tc>
          <w:tcPr>
            <w:tcW w:w="1095" w:type="pct"/>
            <w:noWrap w:val="0"/>
            <w:vAlign w:val="top"/>
          </w:tcPr>
          <w:p>
            <w:pPr>
              <w:widowControl/>
              <w:jc w:val="lef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519" w:type="pct"/>
            <w:noWrap w:val="0"/>
            <w:vAlign w:val="top"/>
          </w:tcPr>
          <w:p>
            <w:pPr>
              <w:widowControl/>
              <w:jc w:val="left"/>
              <w:rPr>
                <w:rFonts w:ascii="仿宋_GB2312" w:hAnsi="仿宋_GB2312" w:eastAsia="仿宋_GB2312" w:cs="仿宋_GB2312"/>
                <w:sz w:val="32"/>
                <w:szCs w:val="32"/>
              </w:rPr>
            </w:pPr>
          </w:p>
        </w:tc>
        <w:tc>
          <w:tcPr>
            <w:tcW w:w="1619" w:type="pct"/>
            <w:noWrap w:val="0"/>
            <w:vAlign w:val="top"/>
          </w:tcPr>
          <w:p>
            <w:pPr>
              <w:widowControl/>
              <w:jc w:val="left"/>
              <w:rPr>
                <w:rFonts w:ascii="仿宋_GB2312" w:hAnsi="仿宋_GB2312" w:eastAsia="仿宋_GB2312" w:cs="仿宋_GB2312"/>
                <w:sz w:val="32"/>
                <w:szCs w:val="32"/>
              </w:rPr>
            </w:pPr>
          </w:p>
        </w:tc>
        <w:tc>
          <w:tcPr>
            <w:tcW w:w="1765" w:type="pct"/>
            <w:noWrap w:val="0"/>
            <w:vAlign w:val="top"/>
          </w:tcPr>
          <w:p>
            <w:pPr>
              <w:widowControl/>
              <w:jc w:val="left"/>
              <w:rPr>
                <w:rFonts w:ascii="仿宋_GB2312" w:hAnsi="仿宋_GB2312" w:eastAsia="仿宋_GB2312" w:cs="仿宋_GB2312"/>
                <w:sz w:val="32"/>
                <w:szCs w:val="32"/>
              </w:rPr>
            </w:pPr>
          </w:p>
        </w:tc>
        <w:tc>
          <w:tcPr>
            <w:tcW w:w="1095" w:type="pct"/>
            <w:noWrap w:val="0"/>
            <w:vAlign w:val="top"/>
          </w:tcPr>
          <w:p>
            <w:pPr>
              <w:widowControl/>
              <w:jc w:val="left"/>
              <w:rPr>
                <w:rFonts w:ascii="仿宋_GB2312" w:hAnsi="仿宋_GB2312" w:eastAsia="仿宋_GB2312" w:cs="仿宋_GB2312"/>
                <w:sz w:val="32"/>
                <w:szCs w:val="32"/>
              </w:rPr>
            </w:pPr>
          </w:p>
        </w:tc>
      </w:tr>
    </w:tbl>
    <w:p>
      <w:pPr>
        <w:widowControl/>
        <w:spacing w:line="20" w:lineRule="exact"/>
        <w:jc w:val="left"/>
        <w:rPr>
          <w:rFonts w:ascii="Times New Roman" w:hAnsi="Times New Roman" w:eastAsia="方正小标宋简体"/>
          <w:sz w:val="36"/>
          <w:szCs w:val="36"/>
        </w:rPr>
      </w:pPr>
    </w:p>
    <w:p>
      <w:pPr>
        <w:overflowPunct w:val="0"/>
        <w:spacing w:line="500" w:lineRule="exact"/>
        <w:ind w:left="1714" w:leftChars="261" w:hanging="1182" w:hangingChars="300"/>
        <w:rPr>
          <w:rFonts w:ascii="Times New Roman" w:hAnsi="Times New Roman" w:eastAsia="方正小标宋简体"/>
          <w:bCs/>
          <w:spacing w:val="-20"/>
          <w:sz w:val="44"/>
          <w:szCs w:val="44"/>
        </w:rPr>
      </w:pPr>
    </w:p>
    <w:p>
      <w:pPr>
        <w:overflowPunct w:val="0"/>
        <w:topLinePunct w:val="0"/>
        <w:spacing w:line="500" w:lineRule="exact"/>
        <w:ind w:left="1714" w:leftChars="261" w:hanging="1182" w:hangingChars="300"/>
        <w:rPr>
          <w:rFonts w:ascii="Times New Roman" w:hAnsi="Times New Roman" w:eastAsia="方正小标宋简体" w:cs="Times New Roman"/>
          <w:bCs/>
          <w:spacing w:val="-20"/>
          <w:kern w:val="2"/>
          <w:sz w:val="44"/>
          <w:szCs w:val="44"/>
        </w:rPr>
      </w:pPr>
    </w:p>
    <w:p>
      <w:pPr>
        <w:pStyle w:val="2"/>
        <w:rPr>
          <w:rFonts w:ascii="Times New Roman" w:hAnsi="Times New Roman" w:eastAsia="方正小标宋简体" w:cs="Times New Roman"/>
          <w:bCs/>
          <w:spacing w:val="-20"/>
          <w:kern w:val="2"/>
          <w:sz w:val="44"/>
          <w:szCs w:val="44"/>
        </w:rPr>
      </w:pPr>
    </w:p>
    <w:p>
      <w:pPr>
        <w:rPr>
          <w:rFonts w:ascii="Times New Roman" w:hAnsi="Times New Roman" w:eastAsia="方正小标宋简体" w:cs="Times New Roman"/>
          <w:bCs/>
          <w:spacing w:val="-20"/>
          <w:kern w:val="2"/>
          <w:sz w:val="44"/>
          <w:szCs w:val="44"/>
        </w:rPr>
      </w:pPr>
    </w:p>
    <w:p>
      <w:pPr>
        <w:pStyle w:val="2"/>
        <w:rPr>
          <w:rFonts w:ascii="Times New Roman" w:hAnsi="Times New Roman" w:eastAsia="方正小标宋简体" w:cs="Times New Roman"/>
          <w:bCs/>
          <w:spacing w:val="-20"/>
          <w:kern w:val="2"/>
          <w:sz w:val="44"/>
          <w:szCs w:val="44"/>
        </w:rPr>
      </w:pPr>
    </w:p>
    <w:p>
      <w:pPr>
        <w:rPr>
          <w:rFonts w:ascii="Times New Roman" w:hAnsi="Times New Roman" w:eastAsia="方正小标宋简体" w:cs="Times New Roman"/>
          <w:bCs/>
          <w:spacing w:val="-20"/>
          <w:kern w:val="2"/>
          <w:sz w:val="44"/>
          <w:szCs w:val="44"/>
        </w:rPr>
      </w:pPr>
    </w:p>
    <w:p>
      <w:pPr>
        <w:pStyle w:val="2"/>
        <w:rPr>
          <w:rFonts w:ascii="Times New Roman" w:hAnsi="Times New Roman" w:eastAsia="方正小标宋简体" w:cs="Times New Roman"/>
          <w:bCs/>
          <w:spacing w:val="-20"/>
          <w:kern w:val="2"/>
          <w:sz w:val="44"/>
          <w:szCs w:val="44"/>
        </w:rPr>
      </w:pPr>
    </w:p>
    <w:p>
      <w:pPr>
        <w:rPr>
          <w:rFonts w:ascii="Times New Roman" w:hAnsi="Times New Roman" w:eastAsia="方正小标宋简体" w:cs="Times New Roman"/>
          <w:bCs/>
          <w:spacing w:val="-20"/>
          <w:kern w:val="2"/>
          <w:sz w:val="44"/>
          <w:szCs w:val="44"/>
        </w:rPr>
      </w:pPr>
    </w:p>
    <w:p>
      <w:pPr>
        <w:pStyle w:val="2"/>
      </w:pPr>
    </w:p>
    <w:p/>
    <w:p>
      <w:pPr>
        <w:keepNext w:val="0"/>
        <w:keepLines w:val="0"/>
        <w:pageBreakBefore w:val="0"/>
        <w:widowControl w:val="0"/>
        <w:pBdr>
          <w:top w:val="single" w:color="auto" w:sz="12" w:space="1"/>
          <w:left w:val="none" w:color="auto" w:sz="0" w:space="4"/>
          <w:bottom w:val="single" w:color="auto" w:sz="12" w:space="1"/>
          <w:right w:val="none" w:color="auto" w:sz="0" w:space="4"/>
          <w:between w:val="none" w:color="auto" w:sz="0" w:space="0"/>
        </w:pBdr>
        <w:kinsoku/>
        <w:wordWrap/>
        <w:overflowPunct/>
        <w:topLinePunct w:val="0"/>
        <w:autoSpaceDE/>
        <w:autoSpaceDN/>
        <w:bidi w:val="0"/>
        <w:adjustRightInd w:val="0"/>
        <w:snapToGrid w:val="0"/>
        <w:spacing w:line="500" w:lineRule="exact"/>
        <w:ind w:firstLine="274" w:firstLineChars="100"/>
        <w:jc w:val="left"/>
        <w:textAlignment w:val="auto"/>
        <w:outlineLvl w:val="9"/>
        <w:rPr>
          <w:rFonts w:hint="default" w:ascii="Times New Roman" w:hAnsi="Times New Roman" w:eastAsia="仿宋_GB2312" w:cs="仿宋_GB2312"/>
          <w:color w:val="auto"/>
          <w:kern w:val="2"/>
          <w:sz w:val="32"/>
          <w:szCs w:val="32"/>
          <w:lang w:val="en-US" w:eastAsia="zh-CN" w:bidi="ar-SA"/>
        </w:rPr>
      </w:pPr>
      <w:r>
        <w:rPr>
          <w:rFonts w:hint="eastAsia" w:ascii="仿宋_GB2312" w:hAnsi="仿宋_GB2312" w:eastAsia="仿宋_GB2312" w:cs="仿宋_GB2312"/>
          <w:b w:val="0"/>
          <w:bCs w:val="0"/>
          <w:color w:val="auto"/>
          <w:kern w:val="0"/>
          <w:sz w:val="28"/>
          <w:szCs w:val="28"/>
        </w:rPr>
        <w:t>国家标准化管理委员会</w:t>
      </w:r>
      <w:r>
        <w:rPr>
          <w:rFonts w:hint="eastAsia" w:ascii="仿宋_GB2312" w:hAnsi="仿宋_GB2312" w:eastAsia="仿宋_GB2312" w:cs="仿宋_GB2312"/>
          <w:b w:val="0"/>
          <w:bCs w:val="0"/>
          <w:color w:val="auto"/>
          <w:kern w:val="0"/>
          <w:sz w:val="28"/>
          <w:szCs w:val="28"/>
          <w:lang w:eastAsia="zh-CN"/>
        </w:rPr>
        <w:t>秘书处</w:t>
      </w:r>
      <w:r>
        <w:rPr>
          <w:rFonts w:hint="eastAsia" w:ascii="仿宋_GB2312" w:hAnsi="仿宋_GB2312" w:eastAsia="仿宋_GB2312" w:cs="仿宋_GB2312"/>
          <w:sz w:val="28"/>
          <w:szCs w:val="28"/>
          <w:lang w:val="en-US" w:eastAsia="zh-CN"/>
        </w:rPr>
        <w:t xml:space="preserve">                 </w:t>
      </w:r>
      <w:r>
        <w:rPr>
          <w:rFonts w:hint="default" w:ascii="Times New Roman" w:hAnsi="Times New Roman" w:eastAsia="仿宋_GB2312" w:cs="Times New Roman"/>
          <w:sz w:val="28"/>
          <w:szCs w:val="28"/>
          <w:lang w:val="en-US" w:eastAsia="zh-CN"/>
        </w:rPr>
        <w:t>202</w:t>
      </w:r>
      <w:r>
        <w:rPr>
          <w:rFonts w:hint="eastAsia" w:ascii="Times New Roman" w:hAnsi="Times New Roman" w:eastAsia="仿宋_GB2312" w:cs="Times New Roman"/>
          <w:sz w:val="28"/>
          <w:szCs w:val="28"/>
          <w:lang w:val="en-US" w:eastAsia="zh-CN"/>
        </w:rPr>
        <w:t>2</w:t>
      </w:r>
      <w:r>
        <w:rPr>
          <w:rFonts w:hint="eastAsia" w:ascii="仿宋_GB2312" w:hAnsi="仿宋_GB2312" w:eastAsia="仿宋_GB2312" w:cs="仿宋_GB2312"/>
          <w:sz w:val="28"/>
          <w:szCs w:val="28"/>
          <w:lang w:val="en-US" w:eastAsia="zh-CN"/>
        </w:rPr>
        <w:t>年1</w:t>
      </w:r>
      <w:r>
        <w:rPr>
          <w:rFonts w:hint="eastAsia" w:ascii="Times New Roman" w:hAnsi="Times New Roman" w:eastAsia="仿宋_GB2312" w:cs="Times New Roman"/>
          <w:sz w:val="28"/>
          <w:szCs w:val="28"/>
          <w:lang w:val="en-US" w:eastAsia="zh-CN"/>
        </w:rPr>
        <w:t>2</w:t>
      </w:r>
      <w:r>
        <w:rPr>
          <w:rFonts w:hint="eastAsia" w:ascii="仿宋_GB2312" w:hAnsi="仿宋_GB2312" w:eastAsia="仿宋_GB2312" w:cs="仿宋_GB2312"/>
          <w:sz w:val="28"/>
          <w:szCs w:val="28"/>
          <w:lang w:val="en-US" w:eastAsia="zh-CN"/>
        </w:rPr>
        <w:t>月</w:t>
      </w:r>
      <w:r>
        <w:rPr>
          <w:rFonts w:hint="eastAsia" w:ascii="Times New Roman" w:hAnsi="Times New Roman" w:eastAsia="仿宋_GB2312" w:cs="Times New Roman"/>
          <w:sz w:val="28"/>
          <w:szCs w:val="28"/>
          <w:lang w:val="en-US" w:eastAsia="zh-CN"/>
        </w:rPr>
        <w:t>5</w:t>
      </w:r>
      <w:r>
        <w:rPr>
          <w:rFonts w:hint="eastAsia" w:ascii="仿宋_GB2312" w:hAnsi="仿宋_GB2312" w:eastAsia="仿宋_GB2312" w:cs="仿宋_GB2312"/>
          <w:sz w:val="28"/>
          <w:szCs w:val="28"/>
          <w:lang w:val="en-US" w:eastAsia="zh-CN"/>
        </w:rPr>
        <w:t>日印发</w:t>
      </w:r>
    </w:p>
    <w:sectPr>
      <w:footerReference r:id="rId9" w:type="first"/>
      <w:footerReference r:id="rId7" w:type="default"/>
      <w:footerReference r:id="rId8" w:type="even"/>
      <w:pgSz w:w="11906" w:h="16838"/>
      <w:pgMar w:top="1984" w:right="1474" w:bottom="1644" w:left="1474" w:header="851" w:footer="1191" w:gutter="0"/>
      <w:paperSrc/>
      <w:pgNumType w:fmt="decimal"/>
      <w:cols w:space="720" w:num="1"/>
      <w:rtlGutter w:val="0"/>
      <w:docGrid w:type="linesAndChars" w:linePitch="288"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3CFC76-2A06-49CC-B7EF-508F7F2978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89EB861-9066-45C9-9737-C4A3760AE852}"/>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D48E0C72-4E3F-4D83-AF72-C973BE3B814E}"/>
  </w:font>
  <w:font w:name="仿宋_GB2312">
    <w:altName w:val="仿宋"/>
    <w:panose1 w:val="02010609030101010101"/>
    <w:charset w:val="86"/>
    <w:family w:val="auto"/>
    <w:pitch w:val="default"/>
    <w:sig w:usb0="00000001" w:usb1="080E0000" w:usb2="00000000" w:usb3="00000000" w:csb0="00040000" w:csb1="00000000"/>
    <w:embedRegular r:id="rId4" w:fontKey="{0F97C9B3-7C38-44DC-9489-ED60CB78CDB3}"/>
  </w:font>
  <w:font w:name="仿宋">
    <w:panose1 w:val="02010609060101010101"/>
    <w:charset w:val="86"/>
    <w:family w:val="auto"/>
    <w:pitch w:val="default"/>
    <w:sig w:usb0="800002BF" w:usb1="38CF7CFA" w:usb2="00000016" w:usb3="00000000" w:csb0="00040001" w:csb1="00000000"/>
    <w:embedRegular r:id="rId5" w:fontKey="{C5383AD9-CB20-45A1-AD5A-9673DFA4FC27}"/>
  </w:font>
  <w:font w:name="方正小标宋简体">
    <w:panose1 w:val="02000000000000000000"/>
    <w:charset w:val="86"/>
    <w:family w:val="script"/>
    <w:pitch w:val="default"/>
    <w:sig w:usb0="00000001" w:usb1="08000000" w:usb2="00000000" w:usb3="00000000" w:csb0="00040000" w:csb1="00000000"/>
    <w:embedRegular r:id="rId6" w:fontKey="{295C440B-553E-42ED-8CD4-A741C33F6500}"/>
  </w:font>
  <w:font w:name="方正楷体简体">
    <w:panose1 w:val="02000000000000000000"/>
    <w:charset w:val="86"/>
    <w:family w:val="script"/>
    <w:pitch w:val="default"/>
    <w:sig w:usb0="A00002BF" w:usb1="184F6CFA" w:usb2="00000012" w:usb3="00000000" w:csb0="00040001" w:csb1="00000000"/>
    <w:embedRegular r:id="rId7" w:fontKey="{0E3FFE3C-3271-419D-8086-2DA8BA345ABB}"/>
  </w:font>
  <w:font w:name="方正仿宋简体">
    <w:panose1 w:val="02000000000000000000"/>
    <w:charset w:val="86"/>
    <w:family w:val="script"/>
    <w:pitch w:val="default"/>
    <w:sig w:usb0="A00002BF" w:usb1="184F6CFA" w:usb2="00000012" w:usb3="00000000" w:csb0="00040001" w:csb1="00000000"/>
    <w:embedRegular r:id="rId8" w:fontKey="{679FD408-9645-4A00-A177-E490F8F47D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210" w:leftChars="100" w:right="210" w:rightChars="100"/>
      <w:jc w:val="right"/>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11</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210" w:leftChars="100" w:right="210" w:rightChars="100"/>
      <w:rPr>
        <w:rFonts w:ascii="宋体" w:hAnsi="宋体"/>
        <w:sz w:val="28"/>
        <w:szCs w:val="28"/>
      </w:rPr>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rPr>
      <w:t>10</w:t>
    </w:r>
    <w:r>
      <w:rPr>
        <w:rFonts w:hint="eastAsia"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11</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ind w:left="315" w:leftChars="150" w:right="315" w:rightChars="150"/>
      <w:jc w:val="right"/>
      <w:textAlignment w:val="auto"/>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ind w:left="315" w:leftChars="150" w:right="315" w:rightChars="150"/>
      <w:jc w:val="both"/>
      <w:textAlignment w:val="auto"/>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1</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ind w:left="210" w:leftChars="100" w:right="210" w:rightChars="100"/>
      <w:jc w:val="left"/>
      <w:textAlignment w:val="auto"/>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11</w:t>
    </w:r>
    <w:r>
      <w:rPr>
        <w:rFonts w:ascii="宋体" w:hAnsi="宋体" w:eastAsia="宋体"/>
        <w:sz w:val="28"/>
        <w:szCs w:val="28"/>
      </w:rPr>
      <w:fldChar w:fldCharType="end"/>
    </w:r>
    <w:r>
      <w:rPr>
        <w:rFonts w:hint="eastAsia" w:ascii="宋体" w:hAns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AA6CFC"/>
    <w:multiLevelType w:val="singleLevel"/>
    <w:tmpl w:val="1BAA6CFC"/>
    <w:lvl w:ilvl="0" w:tentative="0">
      <w:start w:val="1"/>
      <w:numFmt w:val="japaneseCounting"/>
      <w:lvlText w:val="%1、"/>
      <w:lvlJc w:val="left"/>
      <w:pPr>
        <w:tabs>
          <w:tab w:val="left" w:pos="1167"/>
        </w:tabs>
        <w:ind w:left="1167" w:hanging="6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evenAndOddHeaders w:val="1"/>
  <w:drawingGridHorizontalSpacing w:val="102"/>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OTgzMTk2N2Y4ZGM3YzRhZjE3ZGQ4YzI5OWVjMjEifQ=="/>
  </w:docVars>
  <w:rsids>
    <w:rsidRoot w:val="77ED6AD7"/>
    <w:rsid w:val="079E67B7"/>
    <w:rsid w:val="0FBB78EC"/>
    <w:rsid w:val="17777427"/>
    <w:rsid w:val="1B4264FF"/>
    <w:rsid w:val="1F5E88DB"/>
    <w:rsid w:val="27A91594"/>
    <w:rsid w:val="2BA70B16"/>
    <w:rsid w:val="2F1D3008"/>
    <w:rsid w:val="335B7731"/>
    <w:rsid w:val="3AF9E445"/>
    <w:rsid w:val="3B292ED4"/>
    <w:rsid w:val="3BD76E38"/>
    <w:rsid w:val="3CF5D085"/>
    <w:rsid w:val="3DFFF42D"/>
    <w:rsid w:val="3FF5FA74"/>
    <w:rsid w:val="456FFC0A"/>
    <w:rsid w:val="48AD79E8"/>
    <w:rsid w:val="4F504DE9"/>
    <w:rsid w:val="508E3509"/>
    <w:rsid w:val="57FD726A"/>
    <w:rsid w:val="5AF957D2"/>
    <w:rsid w:val="5CDD79B2"/>
    <w:rsid w:val="5F3F326F"/>
    <w:rsid w:val="5FDB7159"/>
    <w:rsid w:val="61DE84AC"/>
    <w:rsid w:val="620579B7"/>
    <w:rsid w:val="6335C9D1"/>
    <w:rsid w:val="673F3F37"/>
    <w:rsid w:val="6D7FEAE6"/>
    <w:rsid w:val="72FBB264"/>
    <w:rsid w:val="73A169F2"/>
    <w:rsid w:val="73F2574A"/>
    <w:rsid w:val="76735CCC"/>
    <w:rsid w:val="76BB50E3"/>
    <w:rsid w:val="76E4148B"/>
    <w:rsid w:val="77B70AEC"/>
    <w:rsid w:val="77ED6AD7"/>
    <w:rsid w:val="79FF3494"/>
    <w:rsid w:val="7ADF1315"/>
    <w:rsid w:val="7BB15772"/>
    <w:rsid w:val="7BD87E06"/>
    <w:rsid w:val="7CF76C76"/>
    <w:rsid w:val="7CFF708B"/>
    <w:rsid w:val="7DBD909C"/>
    <w:rsid w:val="7DD8F84A"/>
    <w:rsid w:val="7DDB5F14"/>
    <w:rsid w:val="7DDD6F76"/>
    <w:rsid w:val="7E3D3426"/>
    <w:rsid w:val="7E7B6156"/>
    <w:rsid w:val="7E8B12EE"/>
    <w:rsid w:val="7ED7690A"/>
    <w:rsid w:val="7EE7C10B"/>
    <w:rsid w:val="7F7D7DE0"/>
    <w:rsid w:val="7FB369F9"/>
    <w:rsid w:val="7FE3FCD8"/>
    <w:rsid w:val="7FEDB6C3"/>
    <w:rsid w:val="7FEFED74"/>
    <w:rsid w:val="A3E9A8AA"/>
    <w:rsid w:val="A6CB5427"/>
    <w:rsid w:val="BFBDDB18"/>
    <w:rsid w:val="BFDEF6CD"/>
    <w:rsid w:val="BFF9B612"/>
    <w:rsid w:val="C8D16525"/>
    <w:rsid w:val="CF7F24AB"/>
    <w:rsid w:val="CFDB7E9C"/>
    <w:rsid w:val="D4EF88A9"/>
    <w:rsid w:val="DDFB30FD"/>
    <w:rsid w:val="DE77947A"/>
    <w:rsid w:val="DF3E4197"/>
    <w:rsid w:val="E9F79D9F"/>
    <w:rsid w:val="EFB89A5C"/>
    <w:rsid w:val="EFF7BED9"/>
    <w:rsid w:val="F3F8109F"/>
    <w:rsid w:val="F74FA786"/>
    <w:rsid w:val="F76FC23F"/>
    <w:rsid w:val="F7DF9675"/>
    <w:rsid w:val="F9FDD9D6"/>
    <w:rsid w:val="FCB7D751"/>
    <w:rsid w:val="FDDE3468"/>
    <w:rsid w:val="FDFF94BE"/>
    <w:rsid w:val="FEBF6A0E"/>
    <w:rsid w:val="FEDE4287"/>
    <w:rsid w:val="FF7AD163"/>
    <w:rsid w:val="FF7F6374"/>
    <w:rsid w:val="FFE7B8DA"/>
    <w:rsid w:val="FFFFEC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spacing w:before="260" w:after="260" w:line="416" w:lineRule="auto"/>
      <w:outlineLvl w:val="2"/>
    </w:pPr>
    <w:rPr>
      <w:rFonts w:ascii="Calibri" w:hAnsi="仿宋_GB2312" w:eastAsia="楷体_GB2312"/>
      <w:b/>
      <w:bCs/>
      <w:szCs w:val="32"/>
    </w:rPr>
  </w:style>
  <w:style w:type="character" w:default="1" w:styleId="7">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3">
    <w:name w:val="footer"/>
    <w:basedOn w:val="1"/>
    <w:next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nhideWhenUsed/>
    <w:qFormat/>
    <w:uiPriority w:val="99"/>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网格型1"/>
    <w:basedOn w:val="5"/>
    <w:qFormat/>
    <w:uiPriority w:val="39"/>
    <w:rPr>
      <w:kern w:val="0"/>
      <w:sz w:val="20"/>
      <w:szCs w:val="20"/>
    </w:r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页脚1"/>
    <w:basedOn w:val="1"/>
    <w:next w:val="3"/>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3839</Words>
  <Characters>3860</Characters>
  <Lines>0</Lines>
  <Paragraphs>0</Paragraphs>
  <TotalTime>2.66666666666667</TotalTime>
  <ScaleCrop>false</ScaleCrop>
  <LinksUpToDate>false</LinksUpToDate>
  <CharactersWithSpaces>4191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2022-05-01T14:04:00Z</dcterms:created>
  <dc:creator>oa</dc:creator>
  <cp:lastModifiedBy>刘某某</cp:lastModifiedBy>
  <cp:lastPrinted>2022-11-25T03:09:21Z</cp:lastPrinted>
  <dcterms:modified xsi:type="dcterms:W3CDTF">2022-12-06T10:44:38Z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396AC33CC40F441F8EC8A36FE8B03487</vt:lpwstr>
  </property>
</Properties>
</file>