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黑体" w:cs="Times New Roman"/>
          <w:sz w:val="32"/>
          <w:szCs w:val="32"/>
          <w:lang w:val="en-US" w:eastAsia="zh-CN"/>
        </w:rPr>
      </w:pPr>
      <w:r>
        <w:rPr>
          <w:rFonts w:ascii="Times New Roman" w:hAnsi="黑体" w:eastAsia="黑体" w:cs="Times New Roman"/>
          <w:sz w:val="32"/>
          <w:szCs w:val="32"/>
        </w:rPr>
        <w:t>附件</w:t>
      </w:r>
      <w:r>
        <w:rPr>
          <w:rFonts w:hint="eastAsia" w:ascii="Times New Roman" w:hAnsi="黑体" w:eastAsia="黑体" w:cs="Times New Roman"/>
          <w:sz w:val="32"/>
          <w:szCs w:val="32"/>
          <w:lang w:val="en-US" w:eastAsia="zh-CN"/>
        </w:rPr>
        <w:t>1</w:t>
      </w:r>
    </w:p>
    <w:p>
      <w:pPr>
        <w:adjustRightInd w:val="0"/>
        <w:snapToGrid w:val="0"/>
        <w:spacing w:line="58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lang w:eastAsia="zh-CN"/>
        </w:rPr>
        <w:t>现代农业产业技术体系北京市创新团队岗位专家</w:t>
      </w:r>
      <w:r>
        <w:rPr>
          <w:rFonts w:hint="eastAsia" w:ascii="方正小标宋简体" w:hAnsi="方正小标宋简体" w:eastAsia="方正小标宋简体" w:cs="方正小标宋简体"/>
          <w:color w:val="000000"/>
          <w:sz w:val="44"/>
          <w:szCs w:val="44"/>
        </w:rPr>
        <w:t>岗位设置计划</w:t>
      </w:r>
    </w:p>
    <w:p>
      <w:pPr>
        <w:pStyle w:val="2"/>
        <w:rPr>
          <w:rFonts w:hint="eastAsia"/>
        </w:rPr>
      </w:pPr>
    </w:p>
    <w:p>
      <w:pPr>
        <w:jc w:val="center"/>
        <w:rPr>
          <w:rFonts w:ascii="Times New Roman" w:hAnsi="Times New Roman" w:eastAsia="仿宋"/>
          <w:b/>
          <w:bCs/>
          <w:color w:val="000000"/>
          <w:sz w:val="36"/>
          <w:szCs w:val="36"/>
        </w:rPr>
      </w:pPr>
      <w:r>
        <w:rPr>
          <w:rFonts w:hint="eastAsia" w:ascii="仿宋_GB2312" w:eastAsia="仿宋_GB2312"/>
          <w:b/>
          <w:bCs/>
          <w:color w:val="000000"/>
          <w:sz w:val="36"/>
          <w:szCs w:val="36"/>
          <w:lang w:val="en-US" w:eastAsia="zh-CN"/>
        </w:rPr>
        <w:t>1.</w:t>
      </w:r>
      <w:r>
        <w:rPr>
          <w:rFonts w:hint="eastAsia" w:ascii="仿宋_GB2312" w:eastAsia="仿宋_GB2312"/>
          <w:b/>
          <w:bCs/>
          <w:color w:val="000000"/>
          <w:sz w:val="36"/>
          <w:szCs w:val="36"/>
        </w:rPr>
        <w:t>数字农业创新团队</w:t>
      </w:r>
      <w:r>
        <w:rPr>
          <w:rFonts w:hint="eastAsia" w:ascii="仿宋_GB2312" w:eastAsia="仿宋_GB2312"/>
          <w:b/>
          <w:bCs/>
          <w:color w:val="000000"/>
          <w:sz w:val="36"/>
          <w:szCs w:val="36"/>
          <w:lang w:eastAsia="zh-CN"/>
        </w:rPr>
        <w:t>新增</w:t>
      </w:r>
      <w:r>
        <w:rPr>
          <w:rFonts w:ascii="仿宋" w:hAnsi="仿宋" w:eastAsia="仿宋"/>
          <w:b/>
          <w:bCs/>
          <w:color w:val="000000"/>
          <w:sz w:val="36"/>
          <w:szCs w:val="36"/>
        </w:rPr>
        <w:t>岗位专家设置</w:t>
      </w:r>
    </w:p>
    <w:tbl>
      <w:tblPr>
        <w:tblStyle w:val="3"/>
        <w:tblW w:w="54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928"/>
        <w:gridCol w:w="1842"/>
        <w:gridCol w:w="4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hAnsi="Times New Roman" w:eastAsia="仿宋"/>
                <w:b/>
                <w:color w:val="000000"/>
                <w:sz w:val="24"/>
                <w:szCs w:val="24"/>
              </w:rPr>
            </w:pPr>
            <w:r>
              <w:rPr>
                <w:rFonts w:ascii="仿宋" w:hAnsi="仿宋" w:eastAsia="仿宋"/>
                <w:b/>
                <w:color w:val="000000"/>
                <w:sz w:val="24"/>
                <w:szCs w:val="24"/>
              </w:rPr>
              <w:t>序号</w:t>
            </w:r>
          </w:p>
        </w:tc>
        <w:tc>
          <w:tcPr>
            <w:tcW w:w="1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hAnsi="Times New Roman" w:eastAsia="仿宋"/>
                <w:b/>
                <w:color w:val="000000"/>
                <w:sz w:val="24"/>
                <w:szCs w:val="24"/>
              </w:rPr>
            </w:pPr>
            <w:r>
              <w:rPr>
                <w:rFonts w:ascii="仿宋" w:hAnsi="仿宋" w:eastAsia="仿宋"/>
                <w:b/>
                <w:color w:val="000000"/>
                <w:sz w:val="24"/>
                <w:szCs w:val="24"/>
              </w:rPr>
              <w:t>功能研究室名称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hAnsi="Times New Roman" w:eastAsia="仿宋"/>
                <w:b/>
                <w:color w:val="000000"/>
                <w:sz w:val="24"/>
                <w:szCs w:val="24"/>
              </w:rPr>
            </w:pPr>
            <w:r>
              <w:rPr>
                <w:rFonts w:ascii="仿宋" w:hAnsi="仿宋" w:eastAsia="仿宋"/>
                <w:b/>
                <w:color w:val="000000"/>
                <w:sz w:val="24"/>
                <w:szCs w:val="24"/>
              </w:rPr>
              <w:t>岗位名称</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b/>
                <w:color w:val="000000"/>
                <w:sz w:val="24"/>
                <w:szCs w:val="24"/>
                <w:lang w:eastAsia="zh-CN"/>
              </w:rPr>
            </w:pPr>
            <w:r>
              <w:rPr>
                <w:rFonts w:ascii="仿宋" w:hAnsi="仿宋" w:eastAsia="仿宋"/>
                <w:b/>
                <w:color w:val="000000"/>
                <w:sz w:val="24"/>
                <w:szCs w:val="24"/>
              </w:rPr>
              <w:t>岗位</w:t>
            </w:r>
            <w:r>
              <w:rPr>
                <w:rFonts w:hint="eastAsia" w:ascii="仿宋" w:hAnsi="仿宋" w:eastAsia="仿宋"/>
                <w:b/>
                <w:color w:val="000000"/>
                <w:sz w:val="24"/>
                <w:szCs w:val="24"/>
                <w:lang w:eastAsia="zh-CN"/>
              </w:rPr>
              <w:t>职责描述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ascii="Times New Roman" w:hAnsi="Times New Roman" w:eastAsia="仿宋"/>
                <w:color w:val="000000"/>
                <w:sz w:val="24"/>
                <w:szCs w:val="24"/>
              </w:rPr>
            </w:pPr>
            <w:r>
              <w:rPr>
                <w:rFonts w:ascii="Times New Roman" w:hAnsi="Times New Roman" w:eastAsia="仿宋"/>
                <w:color w:val="000000"/>
                <w:sz w:val="24"/>
                <w:szCs w:val="24"/>
              </w:rPr>
              <w:t>1</w:t>
            </w:r>
          </w:p>
        </w:tc>
        <w:tc>
          <w:tcPr>
            <w:tcW w:w="192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olor w:val="000000"/>
                <w:sz w:val="24"/>
                <w:szCs w:val="24"/>
              </w:rPr>
            </w:pPr>
            <w:r>
              <w:rPr>
                <w:rFonts w:ascii="仿宋" w:hAnsi="仿宋" w:eastAsia="仿宋"/>
                <w:color w:val="000000"/>
                <w:sz w:val="24"/>
                <w:szCs w:val="24"/>
              </w:rPr>
              <w:t>数字农业共性技术功能研究室</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农业人工智能交叉模型算法研发与应用</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构建适用于设施种养的人工智能基础算法平台，集成人工智能视觉目标检测、分割、运动跟踪等基础模型算法，</w:t>
            </w:r>
            <w:r>
              <w:rPr>
                <w:rFonts w:ascii="仿宋_GB2312" w:hAnsi="Times New Roman" w:eastAsia="仿宋_GB2312"/>
                <w:sz w:val="24"/>
                <w:szCs w:val="24"/>
              </w:rPr>
              <w:t>为农业生产提供通用模型算法。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2</w:t>
            </w:r>
          </w:p>
        </w:tc>
        <w:tc>
          <w:tcPr>
            <w:tcW w:w="19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olor w:val="000000"/>
                <w:sz w:val="24"/>
                <w:szCs w:val="24"/>
              </w:rPr>
            </w:pPr>
            <w:r>
              <w:rPr>
                <w:rFonts w:ascii="仿宋" w:hAnsi="仿宋" w:eastAsia="仿宋"/>
                <w:color w:val="000000"/>
                <w:sz w:val="24"/>
                <w:szCs w:val="24"/>
              </w:rPr>
              <w:t>数字大田功能研究室</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玉米无人农场</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针对玉米耕种管收全程机械化精准作业需要，突破自主路径规划、精准播种、变量施肥、动态测产等关键技术装备，研究智慧大田技术集成方案。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3</w:t>
            </w:r>
          </w:p>
        </w:tc>
        <w:tc>
          <w:tcPr>
            <w:tcW w:w="19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rPr>
                <w:rFonts w:ascii="Times New Roman" w:hAnsi="Times New Roman" w:eastAsia="仿宋"/>
                <w:color w:val="000000"/>
                <w:sz w:val="24"/>
                <w:szCs w:val="24"/>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露地蔬菜无人农场</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针对露地蔬菜</w:t>
            </w:r>
            <w:r>
              <w:rPr>
                <w:rFonts w:ascii="Times New Roman" w:hAnsi="Times New Roman" w:eastAsia="仿宋"/>
                <w:color w:val="000000"/>
                <w:sz w:val="24"/>
                <w:szCs w:val="24"/>
              </w:rPr>
              <w:t>“</w:t>
            </w:r>
            <w:r>
              <w:rPr>
                <w:rFonts w:ascii="仿宋" w:hAnsi="仿宋" w:eastAsia="仿宋"/>
                <w:color w:val="000000"/>
                <w:sz w:val="24"/>
                <w:szCs w:val="24"/>
              </w:rPr>
              <w:t>耕种管收</w:t>
            </w:r>
            <w:r>
              <w:rPr>
                <w:rFonts w:ascii="Times New Roman" w:hAnsi="Times New Roman" w:eastAsia="仿宋"/>
                <w:color w:val="000000"/>
                <w:sz w:val="24"/>
                <w:szCs w:val="24"/>
              </w:rPr>
              <w:t>”</w:t>
            </w:r>
            <w:r>
              <w:rPr>
                <w:rFonts w:ascii="仿宋" w:hAnsi="仿宋" w:eastAsia="仿宋"/>
                <w:color w:val="000000"/>
                <w:sz w:val="24"/>
                <w:szCs w:val="24"/>
              </w:rPr>
              <w:t>全程关键环节，研发甘蓝、萝卜、辣椒等蔬菜个体识别与农机具联动控制、农机集群实时协作等关键技术装备，研究智慧露地蔬菜技术集成方案。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4</w:t>
            </w:r>
          </w:p>
        </w:tc>
        <w:tc>
          <w:tcPr>
            <w:tcW w:w="19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rPr>
                <w:rFonts w:ascii="Times New Roman" w:hAnsi="Times New Roman" w:eastAsia="仿宋"/>
                <w:color w:val="000000"/>
                <w:sz w:val="24"/>
                <w:szCs w:val="24"/>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智慧果园</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研发果园水肥药投入以及开沟、割草、修剪、采摘、运输等宜机化成套精准作业装备，研究智慧果园技术集成方案。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5</w:t>
            </w:r>
          </w:p>
        </w:tc>
        <w:tc>
          <w:tcPr>
            <w:tcW w:w="19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olor w:val="000000"/>
                <w:sz w:val="24"/>
                <w:szCs w:val="24"/>
              </w:rPr>
            </w:pPr>
            <w:r>
              <w:rPr>
                <w:rFonts w:ascii="仿宋" w:hAnsi="仿宋" w:eastAsia="仿宋"/>
                <w:color w:val="000000"/>
                <w:sz w:val="24"/>
                <w:szCs w:val="24"/>
              </w:rPr>
              <w:t>数字设施园艺功能研究室</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center"/>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小型智能植保作业智能装备</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集成臭氧杀菌、主动式杀虫及物联网等技术，研发基于作物本体状态的日光温室病虫害绿色防控智能装备。</w:t>
            </w:r>
            <w:r>
              <w:rPr>
                <w:rFonts w:ascii="Times New Roman" w:hAnsi="Times New Roman" w:eastAsia="仿宋"/>
                <w:color w:val="00000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6</w:t>
            </w:r>
          </w:p>
        </w:tc>
        <w:tc>
          <w:tcPr>
            <w:tcW w:w="19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rPr>
                <w:rFonts w:ascii="Times New Roman" w:hAnsi="Times New Roman" w:eastAsia="仿宋"/>
                <w:color w:val="000000"/>
                <w:sz w:val="24"/>
                <w:szCs w:val="24"/>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center"/>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数字食用菌</w:t>
            </w:r>
            <w:r>
              <w:rPr>
                <w:rFonts w:hint="eastAsia" w:ascii="仿宋" w:hAnsi="仿宋" w:eastAsia="仿宋"/>
                <w:color w:val="000000"/>
                <w:sz w:val="24"/>
                <w:szCs w:val="24"/>
              </w:rPr>
              <w:t>关键技术装备研发</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开展菌菇房智能环境测控、生产智能化管理等关键技术研究，研发集成工厂化食用菌传统菇种、新菇种及特色栽培高效生产技术并示范应用。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eastAsia"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7</w:t>
            </w:r>
          </w:p>
        </w:tc>
        <w:tc>
          <w:tcPr>
            <w:tcW w:w="19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olor w:val="000000"/>
                <w:sz w:val="24"/>
                <w:szCs w:val="24"/>
              </w:rPr>
            </w:pPr>
            <w:r>
              <w:rPr>
                <w:rFonts w:ascii="仿宋" w:hAnsi="仿宋" w:eastAsia="仿宋"/>
                <w:color w:val="000000"/>
                <w:sz w:val="24"/>
                <w:szCs w:val="24"/>
              </w:rPr>
              <w:t>数字养殖功能研究室</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center"/>
              <w:rPr>
                <w:rFonts w:ascii="Times New Roman" w:hAnsi="Times New Roman" w:eastAsia="仿宋"/>
                <w:color w:val="000000"/>
                <w:sz w:val="24"/>
                <w:szCs w:val="24"/>
              </w:rPr>
            </w:pPr>
            <w:r>
              <w:rPr>
                <w:rFonts w:ascii="仿宋" w:hAnsi="仿宋" w:eastAsia="仿宋"/>
                <w:color w:val="000000"/>
                <w:sz w:val="24"/>
                <w:szCs w:val="24"/>
              </w:rPr>
              <w:t>畜舍环境精准调控</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olor w:val="000000"/>
                <w:sz w:val="24"/>
                <w:szCs w:val="24"/>
              </w:rPr>
            </w:pPr>
            <w:r>
              <w:rPr>
                <w:rFonts w:ascii="仿宋" w:hAnsi="仿宋" w:eastAsia="仿宋"/>
                <w:color w:val="000000"/>
                <w:sz w:val="24"/>
                <w:szCs w:val="24"/>
              </w:rPr>
              <w:t>研发</w:t>
            </w:r>
            <w:r>
              <w:rPr>
                <w:rFonts w:hint="eastAsia" w:ascii="仿宋" w:hAnsi="仿宋" w:eastAsia="仿宋"/>
                <w:color w:val="000000"/>
                <w:sz w:val="24"/>
                <w:szCs w:val="24"/>
              </w:rPr>
              <w:t>和引进</w:t>
            </w:r>
            <w:r>
              <w:rPr>
                <w:rFonts w:ascii="仿宋" w:hAnsi="仿宋" w:eastAsia="仿宋"/>
                <w:color w:val="000000"/>
                <w:sz w:val="24"/>
                <w:szCs w:val="24"/>
              </w:rPr>
              <w:t>畜禽舍高性能环境传感器</w:t>
            </w:r>
            <w:r>
              <w:rPr>
                <w:rFonts w:hint="eastAsia" w:ascii="仿宋" w:hAnsi="仿宋" w:eastAsia="仿宋"/>
                <w:color w:val="000000"/>
                <w:sz w:val="24"/>
                <w:szCs w:val="24"/>
              </w:rPr>
              <w:t>和控制器</w:t>
            </w:r>
            <w:r>
              <w:rPr>
                <w:rFonts w:ascii="仿宋" w:hAnsi="仿宋" w:eastAsia="仿宋"/>
                <w:color w:val="000000"/>
                <w:sz w:val="24"/>
                <w:szCs w:val="24"/>
              </w:rPr>
              <w:t>，建立畜禽舍环境</w:t>
            </w:r>
            <w:r>
              <w:rPr>
                <w:rFonts w:hint="eastAsia" w:ascii="仿宋" w:hAnsi="仿宋" w:eastAsia="仿宋"/>
                <w:color w:val="000000"/>
                <w:sz w:val="24"/>
                <w:szCs w:val="24"/>
              </w:rPr>
              <w:t>监测</w:t>
            </w:r>
            <w:r>
              <w:rPr>
                <w:rFonts w:ascii="仿宋" w:hAnsi="仿宋" w:eastAsia="仿宋"/>
                <w:color w:val="000000"/>
                <w:sz w:val="24"/>
                <w:szCs w:val="24"/>
              </w:rPr>
              <w:t>调控</w:t>
            </w:r>
            <w:r>
              <w:rPr>
                <w:rFonts w:hint="eastAsia" w:ascii="仿宋" w:hAnsi="仿宋" w:eastAsia="仿宋"/>
                <w:color w:val="000000"/>
                <w:sz w:val="24"/>
                <w:szCs w:val="24"/>
              </w:rPr>
              <w:t>平台</w:t>
            </w:r>
            <w:r>
              <w:rPr>
                <w:rFonts w:ascii="仿宋" w:hAnsi="仿宋" w:eastAsia="仿宋"/>
                <w:color w:val="000000"/>
                <w:sz w:val="24"/>
                <w:szCs w:val="24"/>
              </w:rPr>
              <w:t>，</w:t>
            </w:r>
            <w:r>
              <w:rPr>
                <w:rFonts w:hint="eastAsia" w:ascii="仿宋" w:hAnsi="仿宋" w:eastAsia="仿宋"/>
                <w:color w:val="000000"/>
                <w:sz w:val="24"/>
                <w:szCs w:val="24"/>
              </w:rPr>
              <w:t>支撑</w:t>
            </w:r>
            <w:r>
              <w:rPr>
                <w:rFonts w:ascii="仿宋" w:hAnsi="仿宋" w:eastAsia="仿宋"/>
                <w:color w:val="000000"/>
                <w:sz w:val="24"/>
                <w:szCs w:val="24"/>
              </w:rPr>
              <w:t>数字猪场、</w:t>
            </w:r>
            <w:r>
              <w:rPr>
                <w:rFonts w:hint="eastAsia" w:ascii="仿宋" w:hAnsi="仿宋" w:eastAsia="仿宋"/>
                <w:color w:val="000000"/>
                <w:sz w:val="24"/>
                <w:szCs w:val="24"/>
              </w:rPr>
              <w:t>数字</w:t>
            </w:r>
            <w:r>
              <w:rPr>
                <w:rFonts w:ascii="仿宋" w:hAnsi="仿宋" w:eastAsia="仿宋"/>
                <w:color w:val="000000"/>
                <w:sz w:val="24"/>
                <w:szCs w:val="24"/>
              </w:rPr>
              <w:t>鸡场、</w:t>
            </w:r>
            <w:r>
              <w:rPr>
                <w:rFonts w:hint="eastAsia" w:ascii="仿宋" w:hAnsi="仿宋" w:eastAsia="仿宋"/>
                <w:color w:val="000000"/>
                <w:sz w:val="24"/>
                <w:szCs w:val="24"/>
              </w:rPr>
              <w:t>数字</w:t>
            </w:r>
            <w:r>
              <w:rPr>
                <w:rFonts w:ascii="仿宋" w:hAnsi="仿宋" w:eastAsia="仿宋"/>
                <w:color w:val="000000"/>
                <w:sz w:val="24"/>
                <w:szCs w:val="24"/>
              </w:rPr>
              <w:t>奶牛场技术集成方案。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rPr>
                <w:rFonts w:hint="default" w:ascii="Times New Roman" w:hAnsi="Times New Roman" w:eastAsia="仿宋"/>
                <w:color w:val="000000"/>
                <w:sz w:val="24"/>
                <w:szCs w:val="24"/>
                <w:lang w:val="en-US" w:eastAsia="zh-CN"/>
              </w:rPr>
            </w:pPr>
            <w:r>
              <w:rPr>
                <w:rFonts w:hint="eastAsia" w:ascii="Times New Roman" w:hAnsi="Times New Roman" w:eastAsia="仿宋"/>
                <w:color w:val="000000"/>
                <w:sz w:val="24"/>
                <w:szCs w:val="24"/>
                <w:lang w:val="en-US" w:eastAsia="zh-CN"/>
              </w:rPr>
              <w:t>8</w:t>
            </w:r>
          </w:p>
        </w:tc>
        <w:tc>
          <w:tcPr>
            <w:tcW w:w="19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rPr>
                <w:rFonts w:ascii="Times New Roman" w:hAnsi="Times New Roman" w:eastAsia="仿宋"/>
                <w:color w:val="000000"/>
                <w:sz w:val="24"/>
                <w:szCs w:val="24"/>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center"/>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数字鸡场</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rPr>
                <w:rFonts w:ascii="Times New Roman" w:hAnsi="Times New Roman" w:eastAsia="仿宋" w:cs="Times New Roman"/>
                <w:color w:val="000000"/>
                <w:kern w:val="2"/>
                <w:sz w:val="24"/>
                <w:szCs w:val="24"/>
                <w:lang w:val="en-US" w:eastAsia="zh-CN" w:bidi="ar-SA"/>
              </w:rPr>
            </w:pPr>
            <w:r>
              <w:rPr>
                <w:rFonts w:ascii="仿宋" w:hAnsi="仿宋" w:eastAsia="仿宋"/>
                <w:color w:val="000000"/>
                <w:sz w:val="24"/>
                <w:szCs w:val="24"/>
              </w:rPr>
              <w:t>研发自主巡检、精准消毒、疾病诊断预警、蛋品分选分级、粪污清理等智能化技术装备，研究智慧鸡场技术集成方案。</w:t>
            </w:r>
          </w:p>
        </w:tc>
      </w:tr>
    </w:tbl>
    <w:p>
      <w:pPr>
        <w:rPr>
          <w:rFonts w:hint="eastAsia" w:ascii="黑体" w:hAnsi="黑体" w:eastAsia="黑体"/>
          <w:sz w:val="32"/>
          <w:szCs w:val="32"/>
        </w:rPr>
      </w:pPr>
      <w:r>
        <w:br w:type="page"/>
      </w:r>
    </w:p>
    <w:p>
      <w:pPr>
        <w:jc w:val="center"/>
        <w:rPr>
          <w:rFonts w:ascii="仿宋_GB2312" w:eastAsia="仿宋_GB2312"/>
          <w:b/>
          <w:bCs/>
          <w:color w:val="000000"/>
          <w:sz w:val="36"/>
          <w:szCs w:val="36"/>
        </w:rPr>
      </w:pPr>
      <w:r>
        <w:rPr>
          <w:rFonts w:hint="eastAsia" w:ascii="仿宋_GB2312" w:eastAsia="仿宋_GB2312"/>
          <w:b/>
          <w:bCs/>
          <w:color w:val="000000"/>
          <w:sz w:val="36"/>
          <w:szCs w:val="36"/>
          <w:lang w:val="en-US" w:eastAsia="zh-CN"/>
        </w:rPr>
        <w:t>2.</w:t>
      </w:r>
      <w:r>
        <w:rPr>
          <w:rFonts w:hint="eastAsia" w:ascii="仿宋_GB2312" w:eastAsia="仿宋_GB2312"/>
          <w:b/>
          <w:bCs/>
          <w:color w:val="000000"/>
          <w:sz w:val="36"/>
          <w:szCs w:val="36"/>
        </w:rPr>
        <w:t>智能温室蔬菜创新团队岗位设置</w:t>
      </w:r>
    </w:p>
    <w:tbl>
      <w:tblPr>
        <w:tblStyle w:val="3"/>
        <w:tblW w:w="8987" w:type="dxa"/>
        <w:jc w:val="center"/>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17"/>
        <w:gridCol w:w="1410"/>
        <w:gridCol w:w="1266"/>
        <w:gridCol w:w="5594"/>
      </w:tblGrid>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6"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b/>
                <w:color w:val="000000"/>
                <w:sz w:val="24"/>
                <w:szCs w:val="24"/>
              </w:rPr>
            </w:pPr>
            <w:r>
              <w:rPr>
                <w:rFonts w:hint="eastAsia" w:ascii="仿宋" w:hAnsi="仿宋" w:eastAsia="仿宋"/>
                <w:b/>
                <w:color w:val="000000"/>
                <w:sz w:val="24"/>
                <w:szCs w:val="24"/>
              </w:rPr>
              <w:t>序号</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b/>
                <w:color w:val="000000"/>
                <w:sz w:val="24"/>
                <w:szCs w:val="24"/>
              </w:rPr>
            </w:pPr>
            <w:r>
              <w:rPr>
                <w:rFonts w:hint="eastAsia" w:ascii="仿宋" w:hAnsi="仿宋" w:eastAsia="仿宋"/>
                <w:b/>
                <w:color w:val="000000"/>
                <w:sz w:val="24"/>
                <w:szCs w:val="24"/>
              </w:rPr>
              <w:t>功能研究室名称</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b/>
                <w:color w:val="000000"/>
                <w:sz w:val="24"/>
                <w:szCs w:val="24"/>
              </w:rPr>
            </w:pPr>
            <w:r>
              <w:rPr>
                <w:rFonts w:hint="eastAsia" w:ascii="仿宋" w:hAnsi="仿宋" w:eastAsia="仿宋"/>
                <w:b/>
                <w:color w:val="000000"/>
                <w:sz w:val="24"/>
                <w:szCs w:val="24"/>
              </w:rPr>
              <w:t>岗位名称</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b/>
                <w:color w:val="000000"/>
                <w:sz w:val="24"/>
                <w:szCs w:val="24"/>
              </w:rPr>
            </w:pPr>
            <w:r>
              <w:rPr>
                <w:rFonts w:hint="eastAsia" w:ascii="仿宋" w:hAnsi="仿宋" w:eastAsia="仿宋"/>
                <w:b/>
                <w:color w:val="000000"/>
                <w:sz w:val="24"/>
                <w:szCs w:val="24"/>
              </w:rPr>
              <w:t>岗位</w:t>
            </w:r>
            <w:r>
              <w:rPr>
                <w:rFonts w:hint="eastAsia" w:ascii="仿宋" w:hAnsi="仿宋" w:eastAsia="仿宋"/>
                <w:b/>
                <w:color w:val="000000"/>
                <w:sz w:val="24"/>
                <w:szCs w:val="24"/>
                <w:lang w:eastAsia="zh-CN"/>
              </w:rPr>
              <w:t>职责</w:t>
            </w:r>
            <w:r>
              <w:rPr>
                <w:rFonts w:hint="eastAsia" w:ascii="仿宋" w:hAnsi="仿宋" w:eastAsia="仿宋"/>
                <w:b/>
                <w:color w:val="000000"/>
                <w:sz w:val="24"/>
                <w:szCs w:val="24"/>
              </w:rPr>
              <w:t>描述</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28"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1</w:t>
            </w:r>
          </w:p>
        </w:tc>
        <w:tc>
          <w:tcPr>
            <w:tcW w:w="1410"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设施结构及装备功能研究室</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sz w:val="24"/>
                <w:szCs w:val="24"/>
              </w:rPr>
              <w:t>智能连栋温室设施结构研究</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sz w:val="24"/>
                <w:szCs w:val="24"/>
              </w:rPr>
            </w:pPr>
            <w:r>
              <w:rPr>
                <w:rFonts w:hint="eastAsia" w:ascii="仿宋" w:hAnsi="仿宋" w:eastAsia="仿宋"/>
                <w:sz w:val="24"/>
                <w:szCs w:val="24"/>
              </w:rPr>
              <w:t>结合自然资源（气候、能源），研究轻简化高透光的文洛式温室结构，开发国产化结构设计软件，设计出宜机化、智能化、低能耗的文洛式温室结构，制定我市连栋玻璃温室设计建设标准；结合国内外智能连栋温室技术发展趋势，开展半封闭连栋玻璃温室结构设计研究，在气候走廊气体混合均质化技术、正压长距离快速变量送风技术等环节取得突破，制定我市半封闭温室设计及建设标准体系。</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5"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2</w:t>
            </w:r>
          </w:p>
        </w:tc>
        <w:tc>
          <w:tcPr>
            <w:tcW w:w="1410" w:type="dxa"/>
            <w:vMerge w:val="continue"/>
            <w:tcBorders>
              <w:tl2br w:val="nil"/>
              <w:tr2bl w:val="nil"/>
            </w:tcBorders>
            <w:noWrap w:val="0"/>
            <w:vAlign w:val="center"/>
          </w:tcPr>
          <w:p>
            <w:pPr>
              <w:keepNext w:val="0"/>
              <w:keepLines w:val="0"/>
              <w:pageBreakBefore w:val="0"/>
              <w:widowControl w:val="0"/>
              <w:kinsoku/>
              <w:wordWrap/>
              <w:overflowPunct/>
              <w:topLinePunct w:val="0"/>
              <w:autoSpaceDN/>
              <w:bidi w:val="0"/>
              <w:adjustRightInd/>
              <w:snapToGrid/>
              <w:spacing w:line="440" w:lineRule="exact"/>
              <w:textAlignment w:val="auto"/>
              <w:rPr>
                <w:rFonts w:ascii="仿宋" w:hAnsi="仿宋" w:eastAsia="仿宋"/>
                <w:color w:val="000000"/>
                <w:sz w:val="24"/>
                <w:szCs w:val="24"/>
              </w:rPr>
            </w:pP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sz w:val="24"/>
                <w:szCs w:val="24"/>
              </w:rPr>
              <w:t>温室数字化控制系统研究及应用</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ind w:left="-53" w:leftChars="-25"/>
              <w:textAlignment w:val="auto"/>
              <w:rPr>
                <w:rFonts w:hint="eastAsia" w:ascii="仿宋" w:hAnsi="仿宋" w:eastAsia="仿宋"/>
                <w:color w:val="000000"/>
                <w:sz w:val="24"/>
                <w:szCs w:val="24"/>
              </w:rPr>
            </w:pPr>
            <w:r>
              <w:rPr>
                <w:rFonts w:hint="eastAsia" w:ascii="仿宋" w:hAnsi="仿宋" w:eastAsia="仿宋"/>
                <w:sz w:val="24"/>
                <w:szCs w:val="24"/>
              </w:rPr>
              <w:t>围绕设施番茄、辣（甜）椒、黄瓜、叶菜类生育期全过程及作物生长模型，研究智能连栋温室数字化控制系统，在作物环境交互影响规律、智慧决策逻辑、精准感知与反馈设备和系统、精细化调控装备等方面实现突破，建设智能温室大数据平台，通过数据分析和决策支持系统提供作物管理决策，研发基于作物生长模型和大数据的智能决策系统与智慧管控平台。</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5"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3</w:t>
            </w:r>
          </w:p>
        </w:tc>
        <w:tc>
          <w:tcPr>
            <w:tcW w:w="1410"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智能温室栽培功能研究室</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sz w:val="24"/>
                <w:szCs w:val="24"/>
              </w:rPr>
              <w:t>温室环境控制策略研究及应用</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olor w:val="000000"/>
                <w:sz w:val="24"/>
                <w:szCs w:val="24"/>
              </w:rPr>
            </w:pPr>
            <w:r>
              <w:rPr>
                <w:rFonts w:hint="eastAsia" w:ascii="仿宋" w:hAnsi="仿宋" w:eastAsia="仿宋"/>
                <w:sz w:val="24"/>
                <w:szCs w:val="24"/>
              </w:rPr>
              <w:t>结合地区自然环境气候特点，在温室结构、能源管理、作物生长等综合条件下，研究和积累大型智能温室在番茄、辣（甜）椒、黄瓜、叶菜类等作物生长发育模型，通过茎流、叶面温度等新型传感器，获取植株实时长势数据，总结并形成各个生育周期的光照、温度、湿度、空气流动和CO</w:t>
            </w:r>
            <w:r>
              <w:rPr>
                <w:rFonts w:hint="eastAsia" w:ascii="仿宋" w:hAnsi="仿宋" w:eastAsia="仿宋"/>
                <w:sz w:val="24"/>
                <w:szCs w:val="24"/>
                <w:vertAlign w:val="subscript"/>
              </w:rPr>
              <w:t>2</w:t>
            </w:r>
            <w:r>
              <w:rPr>
                <w:rFonts w:hint="eastAsia" w:ascii="仿宋" w:hAnsi="仿宋" w:eastAsia="仿宋"/>
                <w:sz w:val="24"/>
                <w:szCs w:val="24"/>
              </w:rPr>
              <w:t>等环境控制策略，并开展技术应用推广及生产示范。</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3"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4</w:t>
            </w:r>
          </w:p>
        </w:tc>
        <w:tc>
          <w:tcPr>
            <w:tcW w:w="1410" w:type="dxa"/>
            <w:vMerge w:val="continue"/>
            <w:tcBorders>
              <w:tl2br w:val="nil"/>
              <w:tr2bl w:val="nil"/>
            </w:tcBorders>
            <w:noWrap w:val="0"/>
            <w:vAlign w:val="center"/>
          </w:tcPr>
          <w:p>
            <w:pPr>
              <w:keepNext w:val="0"/>
              <w:keepLines w:val="0"/>
              <w:pageBreakBefore w:val="0"/>
              <w:widowControl w:val="0"/>
              <w:kinsoku/>
              <w:wordWrap/>
              <w:overflowPunct/>
              <w:topLinePunct w:val="0"/>
              <w:autoSpaceDN/>
              <w:bidi w:val="0"/>
              <w:adjustRightInd/>
              <w:snapToGrid/>
              <w:spacing w:line="440" w:lineRule="exact"/>
              <w:textAlignment w:val="auto"/>
              <w:rPr>
                <w:rFonts w:ascii="仿宋" w:hAnsi="仿宋" w:eastAsia="仿宋"/>
                <w:color w:val="000000"/>
                <w:sz w:val="24"/>
                <w:szCs w:val="24"/>
              </w:rPr>
            </w:pP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s="Times New Roman"/>
                <w:color w:val="000000"/>
                <w:kern w:val="2"/>
                <w:sz w:val="24"/>
                <w:szCs w:val="24"/>
                <w:lang w:val="en-US" w:eastAsia="zh-CN" w:bidi="ar-SA"/>
              </w:rPr>
            </w:pPr>
            <w:r>
              <w:rPr>
                <w:rFonts w:hint="eastAsia" w:ascii="仿宋" w:hAnsi="仿宋" w:eastAsia="仿宋"/>
                <w:color w:val="000000"/>
                <w:sz w:val="24"/>
                <w:szCs w:val="24"/>
              </w:rPr>
              <w:t>补光技术研究与应用</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s="Times New Roman"/>
                <w:color w:val="000000"/>
                <w:kern w:val="2"/>
                <w:sz w:val="24"/>
                <w:szCs w:val="24"/>
                <w:lang w:val="en-US" w:eastAsia="zh-CN" w:bidi="ar-SA"/>
              </w:rPr>
            </w:pPr>
            <w:r>
              <w:rPr>
                <w:rFonts w:hint="eastAsia" w:ascii="仿宋" w:hAnsi="仿宋" w:eastAsia="仿宋"/>
                <w:sz w:val="24"/>
                <w:szCs w:val="24"/>
              </w:rPr>
              <w:t>在智能温室无土栽培条件下，围绕番茄、辣（甜）椒、黄瓜、叶菜类等作物，开展补光技术研究，明确不同作物补光强度、补光时间，结合能源特点，总结形成主要作物补光技术方案；开展不同作物、不同阶段光配方研究，总结形成主要作物不同时期光配方。</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5</w:t>
            </w:r>
          </w:p>
        </w:tc>
        <w:tc>
          <w:tcPr>
            <w:tcW w:w="1410" w:type="dxa"/>
            <w:vMerge w:val="continue"/>
            <w:tcBorders>
              <w:tl2br w:val="nil"/>
              <w:tr2bl w:val="nil"/>
            </w:tcBorders>
            <w:noWrap w:val="0"/>
            <w:vAlign w:val="center"/>
          </w:tcPr>
          <w:p>
            <w:pPr>
              <w:keepNext w:val="0"/>
              <w:keepLines w:val="0"/>
              <w:pageBreakBefore w:val="0"/>
              <w:widowControl w:val="0"/>
              <w:kinsoku/>
              <w:wordWrap/>
              <w:overflowPunct/>
              <w:topLinePunct w:val="0"/>
              <w:autoSpaceDN/>
              <w:bidi w:val="0"/>
              <w:adjustRightInd/>
              <w:snapToGrid/>
              <w:spacing w:line="440" w:lineRule="exact"/>
              <w:textAlignment w:val="auto"/>
              <w:rPr>
                <w:rFonts w:ascii="仿宋" w:hAnsi="仿宋" w:eastAsia="仿宋"/>
                <w:color w:val="000000"/>
                <w:sz w:val="24"/>
                <w:szCs w:val="24"/>
              </w:rPr>
            </w:pP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营养液配方研究与应用</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围绕番茄、辣（甜）椒、黄瓜、叶菜类等作物，开展不同阶段营养液配方研究，形成重点生育时期标准化配方；开展不同元素拮抗及协同技术研究，明确主要元素配比对作物长势及产量的影响。</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6</w:t>
            </w:r>
          </w:p>
        </w:tc>
        <w:tc>
          <w:tcPr>
            <w:tcW w:w="1410" w:type="dxa"/>
            <w:vMerge w:val="continue"/>
            <w:tcBorders>
              <w:tl2br w:val="nil"/>
              <w:tr2bl w:val="nil"/>
            </w:tcBorders>
            <w:noWrap w:val="0"/>
            <w:vAlign w:val="center"/>
          </w:tcPr>
          <w:p>
            <w:pPr>
              <w:keepNext w:val="0"/>
              <w:keepLines w:val="0"/>
              <w:pageBreakBefore w:val="0"/>
              <w:widowControl w:val="0"/>
              <w:kinsoku/>
              <w:wordWrap/>
              <w:overflowPunct/>
              <w:topLinePunct w:val="0"/>
              <w:autoSpaceDN/>
              <w:bidi w:val="0"/>
              <w:adjustRightInd/>
              <w:snapToGrid/>
              <w:spacing w:line="440" w:lineRule="exact"/>
              <w:textAlignment w:val="auto"/>
              <w:rPr>
                <w:rFonts w:ascii="仿宋" w:hAnsi="仿宋" w:eastAsia="仿宋"/>
                <w:color w:val="000000"/>
                <w:sz w:val="24"/>
                <w:szCs w:val="24"/>
              </w:rPr>
            </w:pP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无土栽培高产优质性状的发育生理学设计</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围绕番茄、辣（甜）椒等果蔬作物，开展智能温室无土栽培条件下环境和水肥调控的植物生理组技术应用研究，建立优质高产性状的“环境-基因-表型”互作的三维立体发育学模型，通过发育生理学研究和作物性状的分子模块设计，提升智能温室果蔬作物的品质和产量。</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63"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7</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病虫害综合防治功能研究室</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sz w:val="24"/>
                <w:szCs w:val="24"/>
              </w:rPr>
              <w:t>病虫害绿色防控技术研究与应用</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olor w:val="000000"/>
                <w:sz w:val="24"/>
                <w:szCs w:val="24"/>
              </w:rPr>
            </w:pPr>
            <w:r>
              <w:rPr>
                <w:rFonts w:hint="eastAsia" w:ascii="仿宋" w:hAnsi="仿宋" w:eastAsia="仿宋"/>
                <w:sz w:val="24"/>
                <w:szCs w:val="24"/>
              </w:rPr>
              <w:t>开展高效设施病虫害绿色防控关键技术研究，以物理方式、生物天敌防治为基础，开展生防产品引进及研发，完善高效设施病虫害绿色防控技术体系，制定形成从温室清理、消毒至采后拉秧的各环节植保技术策略。</w:t>
            </w:r>
          </w:p>
        </w:tc>
      </w:tr>
      <w:tr>
        <w:tblPrEx>
          <w:tblBorders>
            <w:top w:val="single" w:color="auto" w:sz="8" w:space="0"/>
            <w:left w:val="single" w:color="auto" w:sz="8" w:space="0"/>
            <w:bottom w:val="single" w:color="auto" w:sz="4"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6" w:hRule="atLeast"/>
          <w:jc w:val="center"/>
        </w:trPr>
        <w:tc>
          <w:tcPr>
            <w:tcW w:w="717"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8</w:t>
            </w:r>
          </w:p>
        </w:tc>
        <w:tc>
          <w:tcPr>
            <w:tcW w:w="1410"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olor w:val="000000"/>
                <w:sz w:val="24"/>
                <w:szCs w:val="24"/>
              </w:rPr>
            </w:pPr>
            <w:r>
              <w:rPr>
                <w:rFonts w:hint="eastAsia" w:ascii="仿宋" w:hAnsi="仿宋" w:eastAsia="仿宋"/>
                <w:color w:val="000000"/>
                <w:sz w:val="24"/>
                <w:szCs w:val="24"/>
              </w:rPr>
              <w:t>产后处理功能研究室</w:t>
            </w:r>
          </w:p>
        </w:tc>
        <w:tc>
          <w:tcPr>
            <w:tcW w:w="1266"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jc w:val="center"/>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产后分等分选装备</w:t>
            </w:r>
          </w:p>
        </w:tc>
        <w:tc>
          <w:tcPr>
            <w:tcW w:w="5594" w:type="dxa"/>
            <w:tcBorders>
              <w:tl2br w:val="nil"/>
              <w:tr2bl w:val="nil"/>
            </w:tcBorders>
            <w:noWrap w:val="0"/>
            <w:vAlign w:val="center"/>
          </w:tcPr>
          <w:p>
            <w:pPr>
              <w:keepNext w:val="0"/>
              <w:keepLines w:val="0"/>
              <w:pageBreakBefore w:val="0"/>
              <w:widowControl w:val="0"/>
              <w:kinsoku/>
              <w:wordWrap/>
              <w:overflowPunct/>
              <w:topLinePunct w:val="0"/>
              <w:autoSpaceDE w:val="0"/>
              <w:autoSpaceDN/>
              <w:bidi w:val="0"/>
              <w:adjustRightInd/>
              <w:snapToGrid/>
              <w:spacing w:line="440" w:lineRule="exact"/>
              <w:textAlignment w:val="auto"/>
              <w:rPr>
                <w:rFonts w:hint="eastAsia" w:ascii="仿宋" w:hAnsi="仿宋" w:eastAsia="仿宋" w:cs="Times New Roman"/>
                <w:color w:val="auto"/>
                <w:kern w:val="2"/>
                <w:sz w:val="24"/>
                <w:szCs w:val="24"/>
                <w:lang w:val="en-US" w:eastAsia="zh-CN" w:bidi="ar-SA"/>
              </w:rPr>
            </w:pPr>
            <w:r>
              <w:rPr>
                <w:rFonts w:hint="eastAsia" w:ascii="仿宋" w:hAnsi="仿宋" w:eastAsia="仿宋"/>
                <w:sz w:val="24"/>
                <w:szCs w:val="24"/>
              </w:rPr>
              <w:t>研发快速、无损、高通量的番茄等智能化检测技术与装备，实现内外部品质的自动化分等分选。</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方正舒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00"/>
    <w:family w:val="modern"/>
    <w:pitch w:val="default"/>
    <w:sig w:usb0="00000000" w:usb1="00000000" w:usb2="00000000"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lMGNiODBmMTM5NGFiNTcxODFiZjcwNGRkMDVjZjYifQ=="/>
  </w:docVars>
  <w:rsids>
    <w:rsidRoot w:val="2EAA52AA"/>
    <w:rsid w:val="2EAA5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2023-10-16T11:51:00Z</dcterms:created>
  <dc:creator>83682</dc:creator>
  <cp:lastModifiedBy>83682</cp:lastModifiedBy>
  <dcterms:modified xsi:type="dcterms:W3CDTF">2023-10-16T11:51:52Z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1C26F4CD98C6415EA6AC727520E913E8_11</vt:lpwstr>
  </property>
</Properties>
</file>