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ind w:firstLine="0" w:firstLineChars="0"/>
        <w:jc w:val="left"/>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1</w:t>
      </w:r>
    </w:p>
    <w:p>
      <w:pPr>
        <w:snapToGrid w:val="0"/>
        <w:spacing w:line="560" w:lineRule="exact"/>
        <w:ind w:firstLine="0" w:firstLineChars="0"/>
        <w:jc w:val="left"/>
        <w:rPr>
          <w:rFonts w:hint="eastAsia" w:ascii="黑体" w:hAnsi="黑体" w:eastAsia="黑体" w:cs="黑体"/>
          <w:bCs/>
          <w:sz w:val="32"/>
          <w:szCs w:val="32"/>
          <w:lang w:val="en-US" w:eastAsia="zh-CN"/>
        </w:rPr>
      </w:pPr>
    </w:p>
    <w:p>
      <w:pPr>
        <w:snapToGrid w:val="0"/>
        <w:spacing w:line="560" w:lineRule="exact"/>
        <w:ind w:firstLine="0" w:firstLineChars="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亦庄新城创新孵化载体（众创空间）认定</w:t>
      </w:r>
    </w:p>
    <w:p>
      <w:pPr>
        <w:snapToGrid w:val="0"/>
        <w:spacing w:line="560" w:lineRule="exact"/>
        <w:ind w:firstLine="0" w:firstLineChars="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办事指南</w:t>
      </w:r>
    </w:p>
    <w:p>
      <w:pPr>
        <w:snapToGrid w:val="0"/>
        <w:ind w:firstLine="880"/>
        <w:jc w:val="center"/>
        <w:rPr>
          <w:rFonts w:ascii="方正小标宋简体" w:hAnsi="方正小标宋简体" w:eastAsia="方正小标宋简体" w:cs="方正小标宋简体"/>
          <w:bCs/>
          <w:sz w:val="44"/>
          <w:szCs w:val="44"/>
        </w:rPr>
      </w:pPr>
    </w:p>
    <w:p>
      <w:pPr>
        <w:pStyle w:val="2"/>
        <w:ind w:firstLine="640"/>
      </w:pPr>
      <w:r>
        <w:rPr>
          <w:rFonts w:hint="eastAsia"/>
        </w:rPr>
        <w:t>一、政策依据</w:t>
      </w:r>
    </w:p>
    <w:p>
      <w:pPr>
        <w:snapToGrid w:val="0"/>
        <w:ind w:firstLine="640"/>
        <w:rPr>
          <w:rFonts w:ascii="仿宋_GB2312" w:hAnsi="仿宋_GB2312" w:cs="仿宋_GB2312"/>
          <w:bCs/>
          <w:kern w:val="0"/>
          <w:szCs w:val="32"/>
        </w:rPr>
      </w:pPr>
      <w:r>
        <w:rPr>
          <w:rFonts w:hint="eastAsia" w:ascii="仿宋_GB2312" w:hAnsi="仿宋_GB2312" w:cs="仿宋_GB2312"/>
          <w:bCs/>
          <w:kern w:val="0"/>
          <w:szCs w:val="32"/>
        </w:rPr>
        <w:t>《亦庄新城创新孵化载体认定管理办法（暂行）》</w:t>
      </w:r>
    </w:p>
    <w:p>
      <w:pPr>
        <w:pStyle w:val="2"/>
        <w:ind w:firstLine="640"/>
      </w:pPr>
      <w:r>
        <w:rPr>
          <w:rFonts w:hint="eastAsia"/>
        </w:rPr>
        <w:t>二、申报事项</w:t>
      </w:r>
    </w:p>
    <w:p>
      <w:pPr>
        <w:snapToGrid w:val="0"/>
        <w:ind w:firstLine="640"/>
        <w:rPr>
          <w:rFonts w:ascii="仿宋_GB2312" w:hAnsi="仿宋_GB2312" w:cs="仿宋_GB2312"/>
          <w:bCs/>
          <w:color w:val="000000"/>
          <w:kern w:val="0"/>
          <w:szCs w:val="32"/>
        </w:rPr>
      </w:pPr>
      <w:r>
        <w:rPr>
          <w:rFonts w:hint="eastAsia" w:ascii="仿宋_GB2312" w:hAnsi="仿宋_GB2312" w:cs="仿宋_GB2312"/>
          <w:bCs/>
          <w:color w:val="000000"/>
          <w:kern w:val="0"/>
          <w:szCs w:val="32"/>
          <w:lang w:val="en-US" w:eastAsia="zh-CN"/>
        </w:rPr>
        <w:t>2024年</w:t>
      </w:r>
      <w:r>
        <w:rPr>
          <w:rFonts w:hint="eastAsia" w:ascii="仿宋_GB2312" w:hAnsi="仿宋_GB2312" w:cs="仿宋_GB2312"/>
          <w:bCs/>
          <w:color w:val="000000"/>
          <w:kern w:val="0"/>
          <w:szCs w:val="32"/>
        </w:rPr>
        <w:t>亦庄新城创新孵化载体（众创空间）认定</w:t>
      </w:r>
    </w:p>
    <w:p>
      <w:pPr>
        <w:pStyle w:val="2"/>
        <w:ind w:firstLine="640"/>
      </w:pPr>
      <w:r>
        <w:rPr>
          <w:rFonts w:hint="eastAsia"/>
        </w:rPr>
        <w:t>三、</w:t>
      </w:r>
      <w:r>
        <w:rPr>
          <w:rFonts w:hint="eastAsia"/>
          <w:highlight w:val="none"/>
        </w:rPr>
        <w:t>认定</w:t>
      </w:r>
      <w:r>
        <w:rPr>
          <w:rFonts w:hint="eastAsia"/>
        </w:rPr>
        <w:t>条件</w:t>
      </w:r>
    </w:p>
    <w:p>
      <w:pPr>
        <w:pStyle w:val="3"/>
        <w:ind w:firstLine="643"/>
      </w:pPr>
      <w:r>
        <w:rPr>
          <w:rFonts w:hint="eastAsia"/>
        </w:rPr>
        <w:t>（一）认定主体要求</w:t>
      </w:r>
    </w:p>
    <w:p>
      <w:pPr>
        <w:snapToGrid w:val="0"/>
        <w:ind w:firstLine="640"/>
        <w:rPr>
          <w:rFonts w:ascii="仿宋_GB2312" w:hAnsi="仿宋_GB2312" w:cs="仿宋_GB2312"/>
          <w:szCs w:val="32"/>
        </w:rPr>
      </w:pPr>
      <w:r>
        <w:rPr>
          <w:rFonts w:hint="eastAsia" w:ascii="仿宋_GB2312" w:hAnsi="仿宋_GB2312" w:cs="仿宋_GB2312"/>
          <w:szCs w:val="32"/>
        </w:rPr>
        <w:t>创新孵化载体须由专业孵化服务机构、区属国有企业、行业龙头企业、高校、科研院所、投资机构、其他经管委会批准的法人实体等七类主体自建或共建。</w:t>
      </w:r>
    </w:p>
    <w:p>
      <w:pPr>
        <w:snapToGrid w:val="0"/>
        <w:ind w:firstLine="643"/>
        <w:rPr>
          <w:rFonts w:ascii="仿宋_GB2312" w:hAnsi="仿宋_GB2312" w:cs="仿宋_GB2312"/>
          <w:szCs w:val="32"/>
        </w:rPr>
      </w:pPr>
      <w:r>
        <w:rPr>
          <w:rFonts w:hint="eastAsia" w:ascii="仿宋_GB2312" w:hAnsi="仿宋_GB2312" w:cs="仿宋_GB2312"/>
          <w:b/>
          <w:bCs/>
          <w:szCs w:val="32"/>
        </w:rPr>
        <w:t>1</w:t>
      </w:r>
      <w:r>
        <w:rPr>
          <w:rFonts w:ascii="仿宋_GB2312" w:hAnsi="仿宋_GB2312" w:cs="仿宋_GB2312"/>
          <w:b/>
          <w:bCs/>
          <w:szCs w:val="32"/>
        </w:rPr>
        <w:t>.</w:t>
      </w:r>
      <w:r>
        <w:rPr>
          <w:rFonts w:hint="eastAsia" w:ascii="仿宋_GB2312" w:hAnsi="仿宋_GB2312" w:cs="仿宋_GB2312"/>
          <w:b/>
          <w:bCs/>
          <w:szCs w:val="32"/>
        </w:rPr>
        <w:t>专业孵化服务机构：</w:t>
      </w:r>
      <w:r>
        <w:rPr>
          <w:rFonts w:hint="eastAsia" w:ascii="仿宋_GB2312" w:hAnsi="仿宋_GB2312" w:cs="仿宋_GB2312"/>
          <w:szCs w:val="32"/>
        </w:rPr>
        <w:t>取得中关村标杆型孵化器项目支持或拥有国家级科技企业孵化器资质，且最近一次评价为A类的运营团队。</w:t>
      </w:r>
    </w:p>
    <w:p>
      <w:pPr>
        <w:snapToGrid w:val="0"/>
        <w:ind w:firstLine="643"/>
        <w:rPr>
          <w:rFonts w:ascii="仿宋_GB2312" w:hAnsi="仿宋_GB2312" w:cs="仿宋_GB2312"/>
          <w:szCs w:val="32"/>
        </w:rPr>
      </w:pPr>
      <w:r>
        <w:rPr>
          <w:rFonts w:hint="eastAsia" w:ascii="仿宋_GB2312" w:hAnsi="仿宋_GB2312" w:cs="仿宋_GB2312"/>
          <w:b/>
          <w:bCs/>
          <w:szCs w:val="32"/>
        </w:rPr>
        <w:t>2</w:t>
      </w:r>
      <w:r>
        <w:rPr>
          <w:rFonts w:ascii="仿宋_GB2312" w:hAnsi="仿宋_GB2312" w:cs="仿宋_GB2312"/>
          <w:b/>
          <w:bCs/>
          <w:szCs w:val="32"/>
        </w:rPr>
        <w:t>.</w:t>
      </w:r>
      <w:r>
        <w:rPr>
          <w:rFonts w:hint="eastAsia" w:ascii="仿宋_GB2312" w:hAnsi="仿宋_GB2312" w:cs="仿宋_GB2312"/>
          <w:b/>
          <w:bCs/>
          <w:szCs w:val="32"/>
        </w:rPr>
        <w:t>区属国有企业：</w:t>
      </w:r>
      <w:r>
        <w:rPr>
          <w:rFonts w:hint="eastAsia" w:ascii="仿宋_GB2312" w:hAnsi="仿宋_GB2312" w:cs="仿宋_GB2312"/>
          <w:szCs w:val="32"/>
        </w:rPr>
        <w:t>经开区管委会控股、参股或直接管理的企业及其子公司。</w:t>
      </w:r>
    </w:p>
    <w:p>
      <w:pPr>
        <w:snapToGrid w:val="0"/>
        <w:ind w:firstLine="643"/>
        <w:rPr>
          <w:rFonts w:ascii="仿宋_GB2312" w:hAnsi="仿宋_GB2312" w:cs="仿宋_GB2312"/>
          <w:b/>
          <w:bCs/>
          <w:szCs w:val="32"/>
        </w:rPr>
      </w:pPr>
      <w:r>
        <w:rPr>
          <w:rFonts w:hint="eastAsia" w:ascii="仿宋_GB2312" w:hAnsi="仿宋_GB2312" w:cs="仿宋_GB2312"/>
          <w:b/>
          <w:bCs/>
          <w:szCs w:val="32"/>
        </w:rPr>
        <w:t>3</w:t>
      </w:r>
      <w:r>
        <w:rPr>
          <w:rFonts w:ascii="仿宋_GB2312" w:hAnsi="仿宋_GB2312" w:cs="仿宋_GB2312"/>
          <w:b/>
          <w:bCs/>
          <w:szCs w:val="32"/>
        </w:rPr>
        <w:t>.</w:t>
      </w:r>
      <w:r>
        <w:rPr>
          <w:rFonts w:hint="eastAsia" w:ascii="仿宋_GB2312" w:hAnsi="仿宋_GB2312" w:cs="仿宋_GB2312"/>
          <w:b/>
          <w:bCs/>
          <w:szCs w:val="32"/>
        </w:rPr>
        <w:t>行业龙头企业</w:t>
      </w:r>
    </w:p>
    <w:p>
      <w:pPr>
        <w:snapToGrid w:val="0"/>
        <w:ind w:firstLine="640"/>
        <w:rPr>
          <w:rFonts w:ascii="仿宋_GB2312" w:hAnsi="仿宋_GB2312" w:cs="仿宋_GB2312"/>
          <w:szCs w:val="32"/>
        </w:rPr>
      </w:pPr>
      <w:r>
        <w:rPr>
          <w:rFonts w:hint="eastAsia" w:ascii="仿宋_GB2312" w:hAnsi="仿宋_GB2312" w:cs="仿宋_GB2312"/>
          <w:szCs w:val="32"/>
        </w:rPr>
        <w:t>（1）央企：以国资委官网央企名录为准，范围包括央企及二级、三级子公司；</w:t>
      </w:r>
    </w:p>
    <w:p>
      <w:pPr>
        <w:snapToGrid w:val="0"/>
        <w:ind w:firstLine="640"/>
        <w:rPr>
          <w:rFonts w:ascii="仿宋_GB2312" w:hAnsi="仿宋_GB2312" w:cs="仿宋_GB2312"/>
          <w:szCs w:val="32"/>
        </w:rPr>
      </w:pPr>
      <w:r>
        <w:rPr>
          <w:rFonts w:hint="eastAsia" w:ascii="仿宋_GB2312" w:hAnsi="仿宋_GB2312" w:cs="仿宋_GB2312"/>
          <w:szCs w:val="32"/>
        </w:rPr>
        <w:t>（2）上市公司：指在上海证券交易所、深圳证券交易所主板、北京证券交易所或海外上市的企业及其子公司；</w:t>
      </w:r>
    </w:p>
    <w:p>
      <w:pPr>
        <w:snapToGrid w:val="0"/>
        <w:ind w:firstLine="640"/>
        <w:rPr>
          <w:rFonts w:ascii="仿宋_GB2312" w:hAnsi="仿宋_GB2312" w:cs="仿宋_GB2312"/>
          <w:szCs w:val="32"/>
        </w:rPr>
      </w:pPr>
      <w:r>
        <w:rPr>
          <w:rFonts w:hint="eastAsia" w:ascii="仿宋_GB2312" w:hAnsi="仿宋_GB2312" w:cs="仿宋_GB2312"/>
          <w:szCs w:val="32"/>
        </w:rPr>
        <w:t>（3）世界500强企业：以美国《财富》杂志最近一期评选的“全球最大五百家公司”排行榜为准，包括总部及其子公司；</w:t>
      </w:r>
    </w:p>
    <w:p>
      <w:pPr>
        <w:snapToGrid w:val="0"/>
        <w:ind w:firstLine="640"/>
        <w:rPr>
          <w:rFonts w:ascii="仿宋_GB2312" w:hAnsi="仿宋_GB2312" w:cs="仿宋_GB2312"/>
          <w:szCs w:val="32"/>
        </w:rPr>
      </w:pPr>
      <w:r>
        <w:rPr>
          <w:rFonts w:hint="eastAsia" w:ascii="仿宋_GB2312" w:hAnsi="仿宋_GB2312" w:cs="仿宋_GB2312"/>
          <w:szCs w:val="32"/>
        </w:rPr>
        <w:t>（4）国内500强企业：以中国企业联合会、中国企业家协会最近一期发布的《中国企业500强》为准，包括总部及其子公司。</w:t>
      </w:r>
    </w:p>
    <w:p>
      <w:pPr>
        <w:snapToGrid w:val="0"/>
        <w:ind w:firstLine="643"/>
        <w:rPr>
          <w:rFonts w:ascii="仿宋_GB2312" w:hAnsi="仿宋_GB2312" w:cs="仿宋_GB2312"/>
          <w:b/>
          <w:bCs/>
          <w:szCs w:val="32"/>
        </w:rPr>
      </w:pPr>
      <w:r>
        <w:rPr>
          <w:rFonts w:hint="eastAsia" w:ascii="仿宋_GB2312" w:hAnsi="仿宋_GB2312" w:cs="仿宋_GB2312"/>
          <w:b/>
          <w:bCs/>
          <w:szCs w:val="32"/>
        </w:rPr>
        <w:t>4</w:t>
      </w:r>
      <w:r>
        <w:rPr>
          <w:rFonts w:ascii="仿宋_GB2312" w:hAnsi="仿宋_GB2312" w:cs="仿宋_GB2312"/>
          <w:b/>
          <w:bCs/>
          <w:szCs w:val="32"/>
        </w:rPr>
        <w:t>.</w:t>
      </w:r>
      <w:r>
        <w:rPr>
          <w:rFonts w:hint="eastAsia" w:ascii="仿宋_GB2312" w:hAnsi="仿宋_GB2312" w:cs="仿宋_GB2312"/>
          <w:b/>
          <w:bCs/>
          <w:szCs w:val="32"/>
        </w:rPr>
        <w:t>高校</w:t>
      </w:r>
    </w:p>
    <w:p>
      <w:pPr>
        <w:snapToGrid w:val="0"/>
        <w:ind w:firstLine="640"/>
        <w:rPr>
          <w:rFonts w:ascii="仿宋_GB2312" w:hAnsi="仿宋_GB2312" w:cs="仿宋_GB2312"/>
          <w:szCs w:val="32"/>
        </w:rPr>
      </w:pPr>
      <w:r>
        <w:rPr>
          <w:rFonts w:hint="eastAsia" w:ascii="仿宋_GB2312" w:hAnsi="仿宋_GB2312" w:cs="仿宋_GB2312"/>
          <w:szCs w:val="32"/>
        </w:rPr>
        <w:t>（1）全球100强大学：以上海软科教育信息咨询有限公司当年发布的《世界大学学术排名》为准，包括高校及其附属单位；</w:t>
      </w:r>
    </w:p>
    <w:p>
      <w:pPr>
        <w:snapToGrid w:val="0"/>
        <w:ind w:firstLine="640"/>
        <w:rPr>
          <w:rFonts w:ascii="仿宋_GB2312" w:hAnsi="仿宋_GB2312" w:cs="仿宋_GB2312"/>
          <w:szCs w:val="32"/>
        </w:rPr>
      </w:pPr>
      <w:r>
        <w:rPr>
          <w:rFonts w:hint="eastAsia" w:ascii="仿宋_GB2312" w:hAnsi="仿宋_GB2312" w:cs="仿宋_GB2312"/>
          <w:szCs w:val="32"/>
        </w:rPr>
        <w:t>（2）双一流高校：以教育部发布的《“双一流”建设高校名单》为准，包括高校及其附属单位；</w:t>
      </w:r>
    </w:p>
    <w:p>
      <w:pPr>
        <w:snapToGrid w:val="0"/>
        <w:ind w:firstLine="640"/>
        <w:rPr>
          <w:rFonts w:ascii="仿宋_GB2312" w:hAnsi="仿宋_GB2312" w:cs="仿宋_GB2312"/>
          <w:szCs w:val="32"/>
        </w:rPr>
      </w:pPr>
      <w:r>
        <w:rPr>
          <w:rFonts w:hint="eastAsia" w:ascii="仿宋_GB2312" w:hAnsi="仿宋_GB2312" w:cs="仿宋_GB2312"/>
          <w:szCs w:val="32"/>
        </w:rPr>
        <w:t>（3）特色产业高校：专业特色突出，符合四大主导产业方向且具有较强研究基础与创新资源的高等院校，相关学科达到教育部学科评估“A”类（含）以上，包括高校及其附属单位。</w:t>
      </w:r>
    </w:p>
    <w:p>
      <w:pPr>
        <w:snapToGrid w:val="0"/>
        <w:ind w:firstLine="643"/>
        <w:rPr>
          <w:rFonts w:ascii="仿宋_GB2312" w:hAnsi="仿宋_GB2312" w:cs="仿宋_GB2312"/>
          <w:b/>
          <w:bCs/>
          <w:szCs w:val="32"/>
        </w:rPr>
      </w:pPr>
      <w:r>
        <w:rPr>
          <w:rFonts w:hint="eastAsia" w:ascii="仿宋_GB2312" w:hAnsi="仿宋_GB2312" w:cs="仿宋_GB2312"/>
          <w:b/>
          <w:bCs/>
          <w:szCs w:val="32"/>
        </w:rPr>
        <w:t>5</w:t>
      </w:r>
      <w:r>
        <w:rPr>
          <w:rFonts w:ascii="仿宋_GB2312" w:hAnsi="仿宋_GB2312" w:cs="仿宋_GB2312"/>
          <w:b/>
          <w:bCs/>
          <w:szCs w:val="32"/>
        </w:rPr>
        <w:t>.</w:t>
      </w:r>
      <w:r>
        <w:rPr>
          <w:rFonts w:hint="eastAsia" w:ascii="仿宋_GB2312" w:hAnsi="仿宋_GB2312" w:cs="仿宋_GB2312"/>
          <w:b/>
          <w:bCs/>
          <w:szCs w:val="32"/>
        </w:rPr>
        <w:t>科研院所</w:t>
      </w:r>
    </w:p>
    <w:p>
      <w:pPr>
        <w:snapToGrid w:val="0"/>
        <w:ind w:firstLine="640"/>
        <w:rPr>
          <w:rFonts w:ascii="仿宋_GB2312" w:hAnsi="仿宋_GB2312" w:cs="仿宋_GB2312"/>
          <w:szCs w:val="32"/>
        </w:rPr>
      </w:pPr>
      <w:r>
        <w:rPr>
          <w:rFonts w:hint="eastAsia" w:ascii="仿宋_GB2312" w:hAnsi="仿宋_GB2312" w:cs="仿宋_GB2312"/>
          <w:szCs w:val="32"/>
        </w:rPr>
        <w:t>（1）全球100强科研机构：以自然出版集团当年发布的自然指数榜单为准，包括科研院所及其附属单位；</w:t>
      </w:r>
    </w:p>
    <w:p>
      <w:pPr>
        <w:snapToGrid w:val="0"/>
        <w:ind w:firstLine="640"/>
        <w:rPr>
          <w:rFonts w:ascii="仿宋_GB2312" w:hAnsi="仿宋_GB2312" w:cs="仿宋_GB2312"/>
          <w:szCs w:val="32"/>
        </w:rPr>
      </w:pPr>
      <w:r>
        <w:rPr>
          <w:rFonts w:hint="eastAsia" w:ascii="仿宋_GB2312" w:hAnsi="仿宋_GB2312" w:cs="仿宋_GB2312"/>
          <w:szCs w:val="32"/>
        </w:rPr>
        <w:t>（2）省部级及以上机构主管的科研院所，包括科研院所及其附属单位。</w:t>
      </w:r>
    </w:p>
    <w:p>
      <w:pPr>
        <w:snapToGrid w:val="0"/>
        <w:ind w:firstLine="643"/>
        <w:rPr>
          <w:rFonts w:ascii="仿宋_GB2312" w:hAnsi="仿宋_GB2312" w:cs="仿宋_GB2312"/>
          <w:szCs w:val="32"/>
        </w:rPr>
      </w:pPr>
      <w:r>
        <w:rPr>
          <w:rFonts w:hint="eastAsia" w:ascii="仿宋_GB2312" w:hAnsi="仿宋_GB2312" w:cs="仿宋_GB2312"/>
          <w:b/>
          <w:bCs/>
          <w:szCs w:val="32"/>
        </w:rPr>
        <w:t>6</w:t>
      </w:r>
      <w:r>
        <w:rPr>
          <w:rFonts w:ascii="仿宋_GB2312" w:hAnsi="仿宋_GB2312" w:cs="仿宋_GB2312"/>
          <w:b/>
          <w:bCs/>
          <w:szCs w:val="32"/>
        </w:rPr>
        <w:t>.</w:t>
      </w:r>
      <w:r>
        <w:rPr>
          <w:rFonts w:hint="eastAsia" w:ascii="仿宋_GB2312" w:hAnsi="仿宋_GB2312" w:cs="仿宋_GB2312"/>
          <w:b/>
          <w:bCs/>
          <w:szCs w:val="32"/>
        </w:rPr>
        <w:t>投资机构：</w:t>
      </w:r>
      <w:r>
        <w:rPr>
          <w:rFonts w:hint="eastAsia" w:ascii="仿宋_GB2312" w:hAnsi="仿宋_GB2312" w:cs="仿宋_GB2312"/>
          <w:szCs w:val="32"/>
        </w:rPr>
        <w:t>管理资金规模不低于十亿元人民币的投资机构。</w:t>
      </w:r>
    </w:p>
    <w:p>
      <w:pPr>
        <w:pStyle w:val="3"/>
        <w:ind w:firstLine="643"/>
      </w:pPr>
      <w:r>
        <w:rPr>
          <w:rFonts w:hint="eastAsia"/>
        </w:rPr>
        <w:t>（二）众创空间认定条件</w:t>
      </w:r>
    </w:p>
    <w:p>
      <w:pPr>
        <w:snapToGrid w:val="0"/>
        <w:ind w:firstLine="640"/>
        <w:rPr>
          <w:rFonts w:ascii="仿宋_GB2312" w:hAnsi="仿宋_GB2312" w:cs="仿宋_GB2312"/>
          <w:szCs w:val="32"/>
        </w:rPr>
      </w:pPr>
      <w:r>
        <w:rPr>
          <w:rFonts w:hint="eastAsia" w:ascii="仿宋_GB2312" w:hAnsi="仿宋_GB2312" w:cs="仿宋_GB2312"/>
          <w:szCs w:val="32"/>
        </w:rPr>
        <w:t>1</w:t>
      </w:r>
      <w:r>
        <w:rPr>
          <w:rFonts w:ascii="仿宋_GB2312" w:hAnsi="仿宋_GB2312" w:cs="仿宋_GB2312"/>
          <w:szCs w:val="32"/>
        </w:rPr>
        <w:t>.</w:t>
      </w:r>
      <w:r>
        <w:rPr>
          <w:rFonts w:hint="eastAsia" w:ascii="仿宋_GB2312" w:hAnsi="仿宋_GB2312" w:cs="仿宋_GB2312"/>
          <w:szCs w:val="32"/>
        </w:rPr>
        <w:t>具有独立法人资格，在亦庄新城范围内注册、纳税、入统，近三年无重大行政处罚记录和刑事犯罪记录，未列入严重违法失信主体名单。</w:t>
      </w:r>
    </w:p>
    <w:p>
      <w:pPr>
        <w:snapToGrid w:val="0"/>
        <w:ind w:firstLine="640"/>
        <w:rPr>
          <w:rFonts w:hint="eastAsia" w:ascii="仿宋_GB2312" w:hAnsi="仿宋_GB2312" w:cs="仿宋_GB2312"/>
          <w:szCs w:val="32"/>
        </w:rPr>
      </w:pPr>
      <w:r>
        <w:rPr>
          <w:rFonts w:hint="eastAsia" w:ascii="仿宋_GB2312" w:hAnsi="仿宋_GB2312" w:cs="仿宋_GB2312"/>
          <w:szCs w:val="32"/>
        </w:rPr>
        <w:t>2</w:t>
      </w:r>
      <w:r>
        <w:rPr>
          <w:rFonts w:ascii="仿宋_GB2312" w:hAnsi="仿宋_GB2312" w:cs="仿宋_GB2312"/>
          <w:szCs w:val="32"/>
        </w:rPr>
        <w:t>.</w:t>
      </w:r>
      <w:r>
        <w:rPr>
          <w:rFonts w:hint="eastAsia" w:ascii="仿宋_GB2312" w:hAnsi="仿宋_GB2312" w:cs="仿宋_GB2312"/>
          <w:szCs w:val="32"/>
        </w:rPr>
        <w:t>可自主支配的孵化场地不小于500 平方米，或可以提供不少于30个创业工位；须具备公共服务场地和设施</w:t>
      </w:r>
      <w:r>
        <w:rPr>
          <w:rFonts w:hint="eastAsia" w:ascii="仿宋_GB2312" w:hAnsi="仿宋_GB2312" w:cs="仿宋_GB2312"/>
          <w:szCs w:val="32"/>
          <w:lang w:eastAsia="zh-CN"/>
        </w:rPr>
        <w:t>，</w:t>
      </w:r>
      <w:r>
        <w:rPr>
          <w:rFonts w:hint="eastAsia" w:ascii="仿宋_GB2312" w:hAnsi="仿宋_GB2312" w:cs="仿宋_GB2312"/>
          <w:szCs w:val="32"/>
        </w:rPr>
        <w:t>提供的创业工位和公共服务场地面积不低于众创空间总面积的75%</w:t>
      </w:r>
      <w:r>
        <w:rPr>
          <w:rFonts w:hint="eastAsia" w:ascii="仿宋_GB2312" w:hAnsi="仿宋_GB2312" w:cs="仿宋_GB2312"/>
          <w:szCs w:val="32"/>
          <w:lang w:eastAsia="zh-CN"/>
        </w:rPr>
        <w:t>。</w:t>
      </w:r>
    </w:p>
    <w:p>
      <w:pPr>
        <w:snapToGrid w:val="0"/>
        <w:ind w:firstLine="640"/>
        <w:rPr>
          <w:rFonts w:ascii="仿宋_GB2312" w:hAnsi="仿宋_GB2312" w:cs="仿宋_GB2312"/>
          <w:szCs w:val="32"/>
        </w:rPr>
      </w:pPr>
      <w:r>
        <w:rPr>
          <w:rFonts w:hint="eastAsia" w:ascii="仿宋_GB2312" w:hAnsi="仿宋_GB2312" w:cs="仿宋_GB2312"/>
          <w:szCs w:val="32"/>
        </w:rPr>
        <w:t>可自主支配孵化场地是指具有自主产权或租赁期在2年以上的房产。</w:t>
      </w:r>
    </w:p>
    <w:p>
      <w:pPr>
        <w:snapToGrid w:val="0"/>
        <w:ind w:firstLine="640"/>
        <w:rPr>
          <w:rFonts w:ascii="仿宋_GB2312" w:hAnsi="仿宋_GB2312" w:cs="仿宋_GB2312"/>
          <w:szCs w:val="32"/>
        </w:rPr>
      </w:pPr>
      <w:r>
        <w:rPr>
          <w:rFonts w:hint="eastAsia" w:ascii="仿宋_GB2312" w:hAnsi="仿宋_GB2312" w:cs="仿宋_GB2312"/>
          <w:szCs w:val="32"/>
        </w:rPr>
        <w:t>公共服务场地是指众创空间提供给创业者共享的活动场所，包括公共接待区、项目展示区、会议室、休闲活动区、专业设备区等配套服务场地。公共服务设施包括免费或低成本的互联网接入、公共软件、共享办公设施等基础办公条件。</w:t>
      </w:r>
    </w:p>
    <w:p>
      <w:pPr>
        <w:snapToGrid w:val="0"/>
        <w:ind w:firstLine="640"/>
        <w:rPr>
          <w:rFonts w:ascii="仿宋_GB2312" w:hAnsi="仿宋_GB2312" w:cs="仿宋_GB2312"/>
          <w:szCs w:val="32"/>
        </w:rPr>
      </w:pPr>
      <w:r>
        <w:rPr>
          <w:rFonts w:hint="eastAsia" w:ascii="仿宋_GB2312" w:hAnsi="仿宋_GB2312" w:cs="仿宋_GB2312"/>
          <w:szCs w:val="32"/>
        </w:rPr>
        <w:t>3</w:t>
      </w:r>
      <w:r>
        <w:rPr>
          <w:rFonts w:ascii="仿宋_GB2312" w:hAnsi="仿宋_GB2312" w:cs="仿宋_GB2312"/>
          <w:szCs w:val="32"/>
        </w:rPr>
        <w:t>.</w:t>
      </w:r>
      <w:r>
        <w:rPr>
          <w:rFonts w:hint="eastAsia" w:ascii="仿宋_GB2312" w:hAnsi="仿宋_GB2312" w:cs="仿宋_GB2312"/>
          <w:szCs w:val="32"/>
        </w:rPr>
        <w:t>具备完善的运营管理体系，拥有专业化、职业化的运营团队，可以提供创业辅导、投融资、知识产权、新技术新产品应用、市场推广、概念验证等服务，形成规范化服务流程。</w:t>
      </w:r>
    </w:p>
    <w:p>
      <w:pPr>
        <w:snapToGrid w:val="0"/>
        <w:ind w:firstLine="640"/>
        <w:rPr>
          <w:rFonts w:ascii="仿宋_GB2312" w:hAnsi="仿宋_GB2312" w:cs="仿宋_GB2312"/>
          <w:szCs w:val="32"/>
        </w:rPr>
      </w:pPr>
      <w:r>
        <w:rPr>
          <w:rFonts w:hint="eastAsia" w:ascii="仿宋_GB2312" w:hAnsi="仿宋_GB2312" w:cs="仿宋_GB2312"/>
          <w:szCs w:val="32"/>
        </w:rPr>
        <w:t>4</w:t>
      </w:r>
      <w:r>
        <w:rPr>
          <w:rFonts w:ascii="仿宋_GB2312" w:hAnsi="仿宋_GB2312" w:cs="仿宋_GB2312"/>
          <w:szCs w:val="32"/>
        </w:rPr>
        <w:t>.</w:t>
      </w:r>
      <w:r>
        <w:rPr>
          <w:rFonts w:hint="eastAsia" w:ascii="仿宋_GB2312" w:hAnsi="仿宋_GB2312" w:cs="仿宋_GB2312"/>
          <w:szCs w:val="32"/>
        </w:rPr>
        <w:t>每年开展的创业沙龙、路演、创业大赛、创业教育培训等活动不少于6场次。</w:t>
      </w:r>
    </w:p>
    <w:p>
      <w:pPr>
        <w:snapToGrid w:val="0"/>
        <w:ind w:firstLine="640"/>
        <w:rPr>
          <w:rFonts w:hint="eastAsia" w:ascii="仿宋_GB2312" w:hAnsi="仿宋_GB2312" w:cs="仿宋_GB2312"/>
          <w:szCs w:val="32"/>
        </w:rPr>
      </w:pPr>
      <w:r>
        <w:rPr>
          <w:rFonts w:ascii="仿宋_GB2312" w:hAnsi="仿宋_GB2312" w:cs="仿宋_GB2312"/>
          <w:szCs w:val="32"/>
        </w:rPr>
        <w:t>5.</w:t>
      </w:r>
      <w:r>
        <w:rPr>
          <w:rFonts w:hint="eastAsia" w:ascii="仿宋_GB2312" w:hAnsi="仿宋_GB2312" w:cs="仿宋_GB2312"/>
          <w:szCs w:val="32"/>
        </w:rPr>
        <w:t>认定范围为商业服务业用地上的商务楼宇类项目。依托同一空间载体同时认定众创空间和孵化器或者依托已认定孵化器建设众创空间的，可以将认定范围拓展至产业用地（类）项目中的科研空间。</w:t>
      </w:r>
    </w:p>
    <w:p>
      <w:pPr>
        <w:pStyle w:val="2"/>
        <w:ind w:firstLine="640"/>
        <w:rPr>
          <w:rFonts w:hint="default" w:eastAsia="黑体"/>
          <w:lang w:val="en-US" w:eastAsia="zh-CN"/>
        </w:rPr>
      </w:pPr>
      <w:r>
        <w:rPr>
          <w:rFonts w:hint="eastAsia"/>
        </w:rPr>
        <w:t>四、</w:t>
      </w:r>
      <w:r>
        <w:rPr>
          <w:rFonts w:hint="eastAsia"/>
          <w:lang w:val="en-US" w:eastAsia="zh-CN"/>
        </w:rPr>
        <w:t>支持内容及标准</w:t>
      </w:r>
    </w:p>
    <w:p>
      <w:pPr>
        <w:snapToGrid w:val="0"/>
        <w:ind w:firstLine="640" w:firstLineChars="200"/>
        <w:rPr>
          <w:rFonts w:hint="default" w:ascii="仿宋_GB2312" w:hAnsi="仿宋_GB2312" w:eastAsia="仿宋_GB2312" w:cs="仿宋_GB2312"/>
          <w:szCs w:val="32"/>
          <w:lang w:val="en-US" w:eastAsia="zh-CN"/>
        </w:rPr>
      </w:pPr>
      <w:r>
        <w:rPr>
          <w:rFonts w:hint="eastAsia" w:ascii="仿宋_GB2312" w:hAnsi="仿宋_GB2312" w:cs="仿宋_GB2312"/>
          <w:szCs w:val="32"/>
          <w:lang w:val="en-US" w:eastAsia="zh-CN"/>
        </w:rPr>
        <w:t>通过认定的企业</w:t>
      </w:r>
      <w:r>
        <w:rPr>
          <w:rFonts w:hint="eastAsia" w:ascii="仿宋_GB2312" w:hAnsi="仿宋_GB2312" w:cs="仿宋_GB2312"/>
          <w:kern w:val="2"/>
          <w:sz w:val="32"/>
          <w:szCs w:val="32"/>
        </w:rPr>
        <w:t>授予创新孵化载体（</w:t>
      </w:r>
      <w:r>
        <w:rPr>
          <w:rFonts w:hint="eastAsia" w:ascii="仿宋_GB2312" w:hAnsi="仿宋_GB2312" w:cs="仿宋_GB2312"/>
          <w:color w:val="000000"/>
          <w:kern w:val="2"/>
          <w:sz w:val="32"/>
          <w:szCs w:val="32"/>
          <w:highlight w:val="none"/>
        </w:rPr>
        <w:t>众创空间</w:t>
      </w:r>
      <w:r>
        <w:rPr>
          <w:rFonts w:hint="eastAsia" w:ascii="仿宋_GB2312" w:hAnsi="仿宋_GB2312" w:cs="仿宋_GB2312"/>
          <w:kern w:val="2"/>
          <w:sz w:val="32"/>
          <w:szCs w:val="32"/>
        </w:rPr>
        <w:t>）称号。</w:t>
      </w:r>
    </w:p>
    <w:p>
      <w:pPr>
        <w:pStyle w:val="2"/>
        <w:ind w:firstLine="640"/>
      </w:pPr>
      <w:r>
        <w:rPr>
          <w:rFonts w:hint="eastAsia"/>
          <w:lang w:val="en-US" w:eastAsia="zh-CN"/>
        </w:rPr>
        <w:t>五</w:t>
      </w:r>
      <w:r>
        <w:rPr>
          <w:rFonts w:hint="eastAsia"/>
        </w:rPr>
        <w:t>、申报材料及要求</w:t>
      </w:r>
    </w:p>
    <w:p>
      <w:pPr>
        <w:pStyle w:val="3"/>
        <w:ind w:firstLine="643"/>
      </w:pPr>
      <w:r>
        <w:rPr>
          <w:rFonts w:hint="eastAsia"/>
        </w:rPr>
        <w:t>（一）申报材料</w:t>
      </w:r>
    </w:p>
    <w:p>
      <w:pPr>
        <w:snapToGrid w:val="0"/>
        <w:ind w:firstLine="640"/>
        <w:rPr>
          <w:rFonts w:ascii="仿宋_GB2312" w:hAnsi="仿宋_GB2312" w:cs="仿宋_GB2312"/>
          <w:szCs w:val="32"/>
        </w:rPr>
      </w:pPr>
      <w:r>
        <w:rPr>
          <w:rFonts w:hint="eastAsia" w:ascii="仿宋_GB2312" w:hAnsi="仿宋_GB2312" w:cs="仿宋_GB2312"/>
          <w:szCs w:val="32"/>
        </w:rPr>
        <w:t>1.亦庄新城创新孵化载体（众创空间）认定申</w:t>
      </w:r>
      <w:r>
        <w:rPr>
          <w:rFonts w:hint="eastAsia" w:ascii="仿宋_GB2312" w:hAnsi="仿宋_GB2312" w:cs="仿宋_GB2312"/>
          <w:szCs w:val="32"/>
          <w:lang w:eastAsia="zh-CN"/>
        </w:rPr>
        <w:t>报</w:t>
      </w:r>
      <w:r>
        <w:rPr>
          <w:rFonts w:hint="eastAsia" w:ascii="仿宋_GB2312" w:hAnsi="仿宋_GB2312" w:cs="仿宋_GB2312"/>
          <w:szCs w:val="32"/>
        </w:rPr>
        <w:t>表，在线填写。</w:t>
      </w:r>
    </w:p>
    <w:p>
      <w:pPr>
        <w:snapToGrid w:val="0"/>
        <w:ind w:firstLine="640"/>
        <w:rPr>
          <w:rFonts w:ascii="仿宋_GB2312" w:hAnsi="仿宋_GB2312" w:cs="仿宋_GB2312"/>
          <w:szCs w:val="32"/>
        </w:rPr>
      </w:pPr>
      <w:r>
        <w:rPr>
          <w:rFonts w:hint="eastAsia" w:ascii="仿宋_GB2312" w:hAnsi="仿宋_GB2312" w:cs="仿宋_GB2312"/>
          <w:szCs w:val="32"/>
        </w:rPr>
        <w:t>2.企业营业执照，选取电子证照。</w:t>
      </w:r>
    </w:p>
    <w:p>
      <w:pPr>
        <w:snapToGrid w:val="0"/>
        <w:ind w:firstLine="640"/>
        <w:rPr>
          <w:rFonts w:ascii="仿宋_GB2312" w:hAnsi="仿宋_GB2312" w:cs="仿宋_GB2312"/>
          <w:szCs w:val="32"/>
        </w:rPr>
      </w:pPr>
      <w:r>
        <w:rPr>
          <w:rFonts w:hint="eastAsia" w:ascii="仿宋_GB2312" w:hAnsi="仿宋_GB2312" w:cs="仿宋_GB2312"/>
          <w:szCs w:val="32"/>
        </w:rPr>
        <w:t>3.承诺书</w:t>
      </w:r>
      <w:r>
        <w:rPr>
          <w:rFonts w:hint="eastAsia" w:ascii="仿宋_GB2312" w:hAnsi="仿宋_GB2312" w:cs="仿宋_GB2312"/>
          <w:color w:val="000000" w:themeColor="text1"/>
          <w:szCs w:val="32"/>
        </w:rPr>
        <w:t>，下载模板填写，</w:t>
      </w:r>
      <w:r>
        <w:rPr>
          <w:rFonts w:hint="eastAsia" w:ascii="仿宋_GB2312" w:hAnsi="仿宋_GB2312" w:cs="仿宋_GB2312"/>
          <w:color w:val="000000" w:themeColor="text1"/>
          <w:spacing w:val="6"/>
          <w:szCs w:val="32"/>
        </w:rPr>
        <w:t>签字、加盖公章，</w:t>
      </w:r>
      <w:r>
        <w:rPr>
          <w:rFonts w:ascii="仿宋_GB2312" w:hAnsi="仿宋_GB2312" w:cs="仿宋_GB2312"/>
          <w:color w:val="000000" w:themeColor="text1"/>
          <w:spacing w:val="6"/>
          <w:szCs w:val="32"/>
        </w:rPr>
        <w:t>彩色</w:t>
      </w:r>
      <w:r>
        <w:rPr>
          <w:rFonts w:hint="eastAsia" w:ascii="仿宋_GB2312" w:hAnsi="仿宋_GB2312" w:cs="仿宋_GB2312"/>
          <w:color w:val="000000" w:themeColor="text1"/>
          <w:spacing w:val="6"/>
          <w:szCs w:val="32"/>
        </w:rPr>
        <w:t>扫描</w:t>
      </w:r>
      <w:r>
        <w:rPr>
          <w:rFonts w:ascii="仿宋_GB2312" w:hAnsi="仿宋_GB2312" w:cs="仿宋_GB2312"/>
          <w:color w:val="000000" w:themeColor="text1"/>
          <w:spacing w:val="6"/>
          <w:szCs w:val="32"/>
        </w:rPr>
        <w:t>上传</w:t>
      </w:r>
      <w:r>
        <w:rPr>
          <w:rFonts w:hint="eastAsia" w:ascii="仿宋_GB2312" w:hAnsi="仿宋_GB2312" w:cs="仿宋_GB2312"/>
          <w:color w:val="000000" w:themeColor="text1"/>
          <w:spacing w:val="6"/>
          <w:szCs w:val="32"/>
        </w:rPr>
        <w:t>。</w:t>
      </w:r>
    </w:p>
    <w:p>
      <w:pPr>
        <w:snapToGrid w:val="0"/>
        <w:ind w:firstLine="640"/>
        <w:rPr>
          <w:rFonts w:ascii="仿宋_GB2312" w:hAnsi="仿宋_GB2312" w:cs="仿宋_GB2312"/>
          <w:szCs w:val="32"/>
        </w:rPr>
      </w:pPr>
      <w:r>
        <w:rPr>
          <w:rFonts w:hint="eastAsia" w:ascii="仿宋_GB2312" w:hAnsi="仿宋_GB2312" w:cs="仿宋_GB2312"/>
          <w:szCs w:val="32"/>
        </w:rPr>
        <w:t>4.专业孵化机构自建或共建证明材料（</w:t>
      </w:r>
      <w:r>
        <w:rPr>
          <w:rFonts w:hint="eastAsia" w:ascii="仿宋_GB2312" w:hAnsi="仿宋_GB2312" w:cs="仿宋_GB2312"/>
          <w:b/>
          <w:bCs/>
          <w:szCs w:val="32"/>
        </w:rPr>
        <w:t>自建</w:t>
      </w:r>
      <w:r>
        <w:rPr>
          <w:rFonts w:hint="eastAsia" w:ascii="仿宋_GB2312" w:hAnsi="仿宋_GB2312" w:cs="仿宋_GB2312"/>
          <w:szCs w:val="32"/>
          <w:lang w:eastAsia="zh-CN"/>
        </w:rPr>
        <w:t>的需要提供</w:t>
      </w:r>
      <w:r>
        <w:rPr>
          <w:rFonts w:hint="eastAsia" w:ascii="仿宋_GB2312" w:hAnsi="仿宋_GB2312" w:cs="仿宋_GB2312"/>
          <w:szCs w:val="32"/>
        </w:rPr>
        <w:t>证明自己属于六类主体的证明材料；</w:t>
      </w:r>
      <w:r>
        <w:rPr>
          <w:rFonts w:hint="eastAsia" w:ascii="仿宋_GB2312" w:hAnsi="仿宋_GB2312" w:cs="仿宋_GB2312"/>
          <w:b/>
          <w:bCs/>
          <w:szCs w:val="32"/>
        </w:rPr>
        <w:t>以合资成立子公司形式共建</w:t>
      </w:r>
      <w:r>
        <w:rPr>
          <w:rFonts w:hint="eastAsia" w:ascii="仿宋_GB2312" w:hAnsi="仿宋_GB2312" w:cs="仿宋_GB2312"/>
          <w:b/>
          <w:bCs/>
          <w:szCs w:val="32"/>
          <w:lang w:eastAsia="zh-CN"/>
        </w:rPr>
        <w:t>的</w:t>
      </w:r>
      <w:r>
        <w:rPr>
          <w:rFonts w:hint="eastAsia" w:ascii="仿宋_GB2312" w:hAnsi="仿宋_GB2312" w:cs="仿宋_GB2312"/>
          <w:szCs w:val="32"/>
        </w:rPr>
        <w:t>需要提供股权结构图、合作方属于六类主体的证明材料；</w:t>
      </w:r>
      <w:r>
        <w:rPr>
          <w:rFonts w:hint="eastAsia" w:ascii="仿宋_GB2312" w:hAnsi="仿宋_GB2312" w:cs="仿宋_GB2312"/>
          <w:b/>
          <w:bCs/>
          <w:szCs w:val="32"/>
        </w:rPr>
        <w:t>以战略合作形式共建</w:t>
      </w:r>
      <w:r>
        <w:rPr>
          <w:rFonts w:hint="eastAsia" w:ascii="仿宋_GB2312" w:hAnsi="仿宋_GB2312" w:cs="仿宋_GB2312"/>
          <w:b/>
          <w:bCs/>
          <w:szCs w:val="32"/>
          <w:lang w:eastAsia="zh-CN"/>
        </w:rPr>
        <w:t>的</w:t>
      </w:r>
      <w:r>
        <w:rPr>
          <w:rFonts w:hint="eastAsia" w:ascii="仿宋_GB2312" w:hAnsi="仿宋_GB2312" w:cs="仿宋_GB2312"/>
          <w:szCs w:val="32"/>
        </w:rPr>
        <w:t>需要提供战略合作协议，内容涉及合作内容以及收益分配等、合作方属于六类主体的证明材料），原件彩色扫描上传。</w:t>
      </w:r>
    </w:p>
    <w:p>
      <w:pPr>
        <w:snapToGrid w:val="0"/>
        <w:ind w:firstLine="640"/>
        <w:rPr>
          <w:rFonts w:ascii="仿宋_GB2312" w:hAnsi="仿宋_GB2312" w:cs="仿宋_GB2312"/>
          <w:szCs w:val="32"/>
        </w:rPr>
      </w:pPr>
      <w:r>
        <w:rPr>
          <w:rFonts w:hint="eastAsia" w:ascii="仿宋_GB2312" w:hAnsi="仿宋_GB2312" w:cs="仿宋_GB2312"/>
          <w:szCs w:val="32"/>
        </w:rPr>
        <w:t>5.不动产权证或房屋租赁合同（含房间号、面积、租金标准等信息），原件彩色扫描上传。</w:t>
      </w:r>
    </w:p>
    <w:p>
      <w:pPr>
        <w:snapToGrid w:val="0"/>
        <w:ind w:firstLine="640"/>
        <w:rPr>
          <w:rFonts w:hint="eastAsia" w:ascii="仿宋_GB2312" w:hAnsi="仿宋_GB2312" w:cs="仿宋_GB2312"/>
          <w:szCs w:val="32"/>
        </w:rPr>
      </w:pPr>
      <w:r>
        <w:rPr>
          <w:rFonts w:hint="eastAsia" w:ascii="仿宋_GB2312" w:hAnsi="仿宋_GB2312" w:cs="仿宋_GB2312"/>
          <w:szCs w:val="32"/>
        </w:rPr>
        <w:t>6.土地使用权证（如已提交不动产权证，可不提交），原件彩色扫描上传。</w:t>
      </w:r>
    </w:p>
    <w:p>
      <w:pPr>
        <w:snapToGrid w:val="0"/>
        <w:ind w:firstLine="640"/>
        <w:rPr>
          <w:rFonts w:hint="eastAsia" w:ascii="仿宋_GB2312" w:hAnsi="仿宋_GB2312" w:cs="仿宋_GB2312"/>
          <w:szCs w:val="32"/>
        </w:rPr>
      </w:pPr>
      <w:r>
        <w:rPr>
          <w:rFonts w:hint="eastAsia" w:ascii="仿宋_GB2312" w:hAnsi="仿宋_GB2312" w:cs="仿宋_GB2312"/>
          <w:szCs w:val="32"/>
        </w:rPr>
        <w:t>7.</w:t>
      </w:r>
      <w:r>
        <w:rPr>
          <w:rFonts w:hint="eastAsia" w:ascii="仿宋_GB2312" w:hAnsi="仿宋_GB2312" w:cs="仿宋_GB2312"/>
          <w:szCs w:val="32"/>
          <w:lang w:eastAsia="zh-CN"/>
        </w:rPr>
        <w:t>众创空间</w:t>
      </w:r>
      <w:r>
        <w:rPr>
          <w:rFonts w:hint="eastAsia" w:ascii="仿宋_GB2312" w:hAnsi="仿宋_GB2312" w:cs="仿宋_GB2312"/>
          <w:szCs w:val="32"/>
        </w:rPr>
        <w:t>所在位置的项目工程设计图纸（仅工业</w:t>
      </w:r>
      <w:r>
        <w:rPr>
          <w:rFonts w:hint="eastAsia" w:ascii="仿宋_GB2312" w:hAnsi="仿宋_GB2312" w:cs="仿宋_GB2312"/>
          <w:szCs w:val="32"/>
          <w:lang w:eastAsia="zh-CN"/>
        </w:rPr>
        <w:t>用地</w:t>
      </w:r>
      <w:bookmarkStart w:id="0" w:name="_GoBack"/>
      <w:bookmarkEnd w:id="0"/>
      <w:r>
        <w:rPr>
          <w:rFonts w:hint="eastAsia" w:ascii="仿宋_GB2312" w:hAnsi="仿宋_GB2312" w:cs="仿宋_GB2312"/>
          <w:szCs w:val="32"/>
        </w:rPr>
        <w:t>项目提供），原件彩色扫描上传。</w:t>
      </w:r>
    </w:p>
    <w:p>
      <w:pPr>
        <w:snapToGrid w:val="0"/>
        <w:ind w:firstLine="640"/>
        <w:rPr>
          <w:rFonts w:hint="eastAsia" w:ascii="仿宋_GB2312" w:hAnsi="仿宋_GB2312" w:cs="仿宋_GB2312"/>
          <w:szCs w:val="32"/>
        </w:rPr>
      </w:pPr>
      <w:r>
        <w:rPr>
          <w:rFonts w:hint="eastAsia" w:ascii="仿宋_GB2312" w:hAnsi="仿宋_GB2312" w:cs="仿宋_GB2312"/>
          <w:szCs w:val="32"/>
          <w:lang w:val="en-US" w:eastAsia="zh-CN"/>
        </w:rPr>
        <w:t>8.众创空间孵化场地层高、承重证明材料（仅工业用地项目上传），如《建筑设计图》《建筑设计说明》《结构施工图》《结构设计总说明》《结构计算书》等并注明相关数据，原件彩色扫描上传。</w:t>
      </w:r>
    </w:p>
    <w:p>
      <w:pPr>
        <w:snapToGrid w:val="0"/>
        <w:ind w:firstLine="640"/>
        <w:rPr>
          <w:rFonts w:ascii="仿宋_GB2312" w:hAnsi="仿宋_GB2312" w:cs="仿宋_GB2312"/>
          <w:szCs w:val="32"/>
        </w:rPr>
      </w:pPr>
      <w:r>
        <w:rPr>
          <w:rFonts w:hint="eastAsia" w:ascii="仿宋_GB2312" w:hAnsi="仿宋_GB2312" w:cs="仿宋_GB2312"/>
          <w:szCs w:val="32"/>
          <w:lang w:val="en-US" w:eastAsia="zh-CN"/>
        </w:rPr>
        <w:t>9</w:t>
      </w:r>
      <w:r>
        <w:rPr>
          <w:rFonts w:hint="eastAsia" w:ascii="仿宋_GB2312" w:hAnsi="仿宋_GB2312" w:cs="仿宋_GB2312"/>
          <w:szCs w:val="32"/>
        </w:rPr>
        <w:t>.创业工位位置分布图（面积不足5</w:t>
      </w:r>
      <w:r>
        <w:rPr>
          <w:rFonts w:ascii="仿宋_GB2312" w:hAnsi="仿宋_GB2312" w:cs="仿宋_GB2312"/>
          <w:szCs w:val="32"/>
        </w:rPr>
        <w:t>00</w:t>
      </w:r>
      <w:r>
        <w:rPr>
          <w:rFonts w:hint="eastAsia" w:ascii="仿宋_GB2312" w:hAnsi="仿宋_GB2312" w:cs="仿宋_GB2312"/>
          <w:szCs w:val="32"/>
        </w:rPr>
        <w:t>平方米的提供），原件彩色扫描上传。</w:t>
      </w:r>
    </w:p>
    <w:p>
      <w:pPr>
        <w:snapToGrid w:val="0"/>
        <w:ind w:firstLine="640"/>
        <w:rPr>
          <w:rFonts w:ascii="仿宋_GB2312" w:hAnsi="仿宋_GB2312" w:cs="仿宋_GB2312"/>
          <w:szCs w:val="32"/>
        </w:rPr>
      </w:pPr>
      <w:r>
        <w:rPr>
          <w:rFonts w:hint="eastAsia" w:ascii="仿宋_GB2312" w:hAnsi="仿宋_GB2312" w:cs="仿宋_GB2312"/>
          <w:szCs w:val="32"/>
          <w:lang w:val="en-US" w:eastAsia="zh-CN"/>
        </w:rPr>
        <w:t>10</w:t>
      </w:r>
      <w:r>
        <w:rPr>
          <w:rFonts w:hint="eastAsia" w:ascii="仿宋_GB2312" w:hAnsi="仿宋_GB2312" w:cs="仿宋_GB2312"/>
          <w:szCs w:val="32"/>
        </w:rPr>
        <w:t>.运营团队人员社保缴费记录或劳动合同（不少于</w:t>
      </w:r>
      <w:r>
        <w:rPr>
          <w:rFonts w:ascii="仿宋_GB2312" w:hAnsi="仿宋_GB2312" w:cs="仿宋_GB2312"/>
          <w:szCs w:val="32"/>
        </w:rPr>
        <w:t>1</w:t>
      </w:r>
      <w:r>
        <w:rPr>
          <w:rFonts w:hint="eastAsia" w:ascii="仿宋_GB2312" w:hAnsi="仿宋_GB2312" w:cs="仿宋_GB2312"/>
          <w:szCs w:val="32"/>
        </w:rPr>
        <w:t>人），原件彩色扫描上传。</w:t>
      </w:r>
    </w:p>
    <w:p>
      <w:pPr>
        <w:snapToGrid w:val="0"/>
        <w:ind w:firstLine="640"/>
        <w:rPr>
          <w:rFonts w:ascii="仿宋_GB2312" w:hAnsi="仿宋_GB2312" w:cs="仿宋_GB2312"/>
          <w:szCs w:val="32"/>
        </w:rPr>
      </w:pPr>
      <w:r>
        <w:rPr>
          <w:rFonts w:hint="eastAsia" w:ascii="仿宋_GB2312" w:hAnsi="仿宋_GB2312" w:cs="仿宋_GB2312"/>
          <w:szCs w:val="32"/>
          <w:lang w:val="en-US" w:eastAsia="zh-CN"/>
        </w:rPr>
        <w:t>11</w:t>
      </w:r>
      <w:r>
        <w:rPr>
          <w:rFonts w:hint="eastAsia" w:ascii="仿宋_GB2312" w:hAnsi="仿宋_GB2312" w:cs="仿宋_GB2312"/>
          <w:szCs w:val="32"/>
        </w:rPr>
        <w:t>.为在孵企业提供服务的合同或者可以为企业提供相关服务的证明材料，原件彩色扫描上传。</w:t>
      </w:r>
    </w:p>
    <w:p>
      <w:pPr>
        <w:snapToGrid w:val="0"/>
        <w:ind w:firstLine="640"/>
        <w:rPr>
          <w:rFonts w:ascii="仿宋_GB2312" w:hAnsi="仿宋_GB2312" w:cs="仿宋_GB2312"/>
          <w:szCs w:val="32"/>
        </w:rPr>
      </w:pPr>
      <w:r>
        <w:rPr>
          <w:rFonts w:hint="eastAsia" w:ascii="仿宋_GB2312" w:hAnsi="仿宋_GB2312" w:cs="仿宋_GB2312"/>
          <w:szCs w:val="32"/>
        </w:rPr>
        <w:t>1</w:t>
      </w:r>
      <w:r>
        <w:rPr>
          <w:rFonts w:hint="eastAsia" w:ascii="仿宋_GB2312" w:hAnsi="仿宋_GB2312" w:cs="仿宋_GB2312"/>
          <w:szCs w:val="32"/>
          <w:lang w:val="en-US" w:eastAsia="zh-CN"/>
        </w:rPr>
        <w:t>2</w:t>
      </w:r>
      <w:r>
        <w:rPr>
          <w:rFonts w:hint="eastAsia" w:ascii="仿宋_GB2312" w:hAnsi="仿宋_GB2312" w:cs="仿宋_GB2312"/>
          <w:szCs w:val="32"/>
        </w:rPr>
        <w:t>.上年度组织开展的创业沙龙、路演、创业大赛、创业教育培训等活动（不少于6场）的相关证明材料，包括但不限于服务企业清单、签到表、现场照片等，原件彩色扫描上传。</w:t>
      </w:r>
    </w:p>
    <w:p>
      <w:pPr>
        <w:snapToGrid w:val="0"/>
        <w:ind w:firstLine="640"/>
      </w:pPr>
      <w:r>
        <w:rPr>
          <w:rFonts w:hint="eastAsia"/>
        </w:rPr>
        <w:t>（二）打印纸质材料要求</w:t>
      </w:r>
    </w:p>
    <w:p>
      <w:pPr>
        <w:ind w:firstLine="640"/>
        <w:rPr>
          <w:rFonts w:hint="eastAsia" w:ascii="仿宋_GB2312" w:hAnsi="仿宋_GB2312" w:cs="仿宋_GB2312"/>
          <w:szCs w:val="32"/>
        </w:rPr>
      </w:pPr>
      <w:r>
        <w:rPr>
          <w:rFonts w:hint="eastAsia" w:ascii="仿宋_GB2312" w:hAnsi="仿宋_GB2312" w:eastAsia="仿宋_GB2312" w:cs="仿宋_GB2312"/>
          <w:sz w:val="32"/>
          <w:szCs w:val="32"/>
        </w:rPr>
        <w:t>收到打印纸质材料短信通知后，在3个工作日内从平台下载带水印全套申报材料进行打印，一式</w:t>
      </w:r>
      <w:r>
        <w:rPr>
          <w:rFonts w:hint="eastAsia" w:ascii="仿宋_GB2312" w:hAnsi="仿宋_GB2312" w:cs="仿宋_GB2312"/>
          <w:sz w:val="32"/>
          <w:szCs w:val="32"/>
          <w:lang w:eastAsia="zh-CN"/>
        </w:rPr>
        <w:t>三</w:t>
      </w:r>
      <w:r>
        <w:rPr>
          <w:rFonts w:hint="eastAsia" w:ascii="仿宋_GB2312" w:hAnsi="仿宋_GB2312" w:eastAsia="仿宋_GB2312" w:cs="仿宋_GB2312"/>
          <w:sz w:val="32"/>
          <w:szCs w:val="32"/>
        </w:rPr>
        <w:t>份有序装订（整本首页、骑缝盖章）</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递交至受理窗口。</w:t>
      </w:r>
    </w:p>
    <w:p>
      <w:pPr>
        <w:ind w:firstLine="640"/>
        <w:outlineLvl w:val="0"/>
        <w:rPr>
          <w:rFonts w:ascii="黑体" w:hAnsi="黑体" w:eastAsia="黑体" w:cs="黑体"/>
          <w:szCs w:val="32"/>
        </w:rPr>
      </w:pPr>
      <w:r>
        <w:rPr>
          <w:rFonts w:hint="eastAsia" w:ascii="黑体" w:hAnsi="黑体" w:eastAsia="黑体" w:cs="黑体"/>
          <w:szCs w:val="32"/>
          <w:lang w:val="en-US" w:eastAsia="zh-CN"/>
        </w:rPr>
        <w:t>六</w:t>
      </w:r>
      <w:r>
        <w:rPr>
          <w:rFonts w:hint="eastAsia" w:ascii="黑体" w:hAnsi="黑体" w:eastAsia="黑体" w:cs="黑体"/>
          <w:szCs w:val="32"/>
        </w:rPr>
        <w:t>、办理程序</w:t>
      </w:r>
    </w:p>
    <w:p>
      <w:pPr>
        <w:pStyle w:val="11"/>
        <w:numPr>
          <w:ilvl w:val="255"/>
          <w:numId w:val="0"/>
        </w:numPr>
        <w:shd w:val="clear" w:color="auto" w:fill="FFFFFF"/>
        <w:spacing w:beforeAutospacing="0" w:afterAutospacing="0" w:line="560" w:lineRule="exact"/>
        <w:ind w:firstLine="640"/>
        <w:rPr>
          <w:rFonts w:ascii="仿宋_GB2312" w:hAnsi="仿宋_GB2312" w:cs="仿宋_GB2312"/>
          <w:color w:val="000000"/>
          <w:sz w:val="32"/>
          <w:szCs w:val="32"/>
        </w:rPr>
      </w:pPr>
      <w:r>
        <w:rPr>
          <w:rFonts w:hint="eastAsia" w:ascii="仿宋_GB2312" w:hAnsi="仿宋_GB2312" w:cs="仿宋_GB2312"/>
          <w:color w:val="000000"/>
          <w:sz w:val="32"/>
          <w:szCs w:val="32"/>
        </w:rPr>
        <w:t>（一）</w:t>
      </w:r>
      <w:r>
        <w:rPr>
          <w:rFonts w:hint="eastAsia" w:ascii="仿宋_GB2312" w:hAnsi="仿宋_GB2312" w:cs="仿宋_GB2312"/>
          <w:b/>
          <w:bCs/>
          <w:color w:val="000000"/>
          <w:sz w:val="32"/>
          <w:szCs w:val="32"/>
        </w:rPr>
        <w:t>网上申报</w:t>
      </w:r>
      <w:r>
        <w:rPr>
          <w:rFonts w:hint="eastAsia" w:ascii="仿宋_GB2312" w:hAnsi="仿宋_GB2312" w:cs="仿宋_GB2312"/>
          <w:color w:val="000000"/>
          <w:sz w:val="32"/>
          <w:szCs w:val="32"/>
        </w:rPr>
        <w:t>：通过经开区官网</w:t>
      </w:r>
      <w:r>
        <w:rPr>
          <w:rFonts w:hint="eastAsia" w:ascii="仿宋_GB2312" w:hAnsi="仿宋_GB2312" w:cs="仿宋_GB2312"/>
          <w:sz w:val="32"/>
          <w:szCs w:val="32"/>
        </w:rPr>
        <w:t>政策兑现模块</w:t>
      </w:r>
      <w:r>
        <w:rPr>
          <w:rFonts w:hint="eastAsia" w:ascii="仿宋_GB2312" w:hAnsi="仿宋_GB2312" w:cs="仿宋_GB2312"/>
          <w:color w:val="000000"/>
          <w:sz w:val="32"/>
          <w:szCs w:val="32"/>
        </w:rPr>
        <w:t>进入政策兑现综合服务平台，</w:t>
      </w:r>
      <w:r>
        <w:rPr>
          <w:rFonts w:hint="eastAsia" w:ascii="仿宋_GB2312" w:hAnsi="仿宋_GB2312" w:cs="仿宋_GB2312"/>
          <w:sz w:val="32"/>
          <w:szCs w:val="32"/>
        </w:rPr>
        <w:t>或使用360浏览器的极速模式登录网址：zcdx.kfqgw.beijing.gov.cn</w:t>
      </w:r>
      <w:r>
        <w:rPr>
          <w:rFonts w:hint="eastAsia" w:ascii="仿宋_GB2312" w:hAnsi="仿宋_GB2312" w:cs="仿宋_GB2312"/>
          <w:color w:val="000000"/>
          <w:sz w:val="32"/>
          <w:szCs w:val="32"/>
        </w:rPr>
        <w:t>，注册登录后进行项目申报。如未在规定时间内提交申请的，视为自动放弃。</w:t>
      </w:r>
    </w:p>
    <w:p>
      <w:pPr>
        <w:pStyle w:val="11"/>
        <w:numPr>
          <w:ilvl w:val="255"/>
          <w:numId w:val="0"/>
        </w:numPr>
        <w:shd w:val="clear" w:color="auto" w:fill="FFFFFF"/>
        <w:spacing w:beforeAutospacing="0" w:afterAutospacing="0" w:line="560" w:lineRule="exact"/>
        <w:ind w:firstLine="640"/>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（二）</w:t>
      </w:r>
      <w:r>
        <w:rPr>
          <w:rFonts w:hint="eastAsia" w:ascii="仿宋_GB2312" w:hAnsi="仿宋_GB2312" w:cs="仿宋_GB2312"/>
          <w:b/>
          <w:bCs/>
          <w:color w:val="000000"/>
          <w:kern w:val="2"/>
          <w:sz w:val="32"/>
          <w:szCs w:val="32"/>
        </w:rPr>
        <w:t>初审</w:t>
      </w:r>
      <w:r>
        <w:rPr>
          <w:rFonts w:hint="eastAsia" w:ascii="仿宋_GB2312" w:hAnsi="仿宋_GB2312" w:cs="仿宋_GB2312"/>
          <w:color w:val="000000"/>
          <w:kern w:val="2"/>
          <w:sz w:val="32"/>
          <w:szCs w:val="32"/>
        </w:rPr>
        <w:t>：经开区政务服务中心对申报主体提交的材料进行完整性审查，材料不齐全或不符合要求的，告知申报主体补齐补正。</w:t>
      </w:r>
    </w:p>
    <w:p>
      <w:pPr>
        <w:pStyle w:val="11"/>
        <w:shd w:val="clear" w:color="auto" w:fill="FFFFFF"/>
        <w:spacing w:beforeAutospacing="0" w:afterAutospacing="0" w:line="560" w:lineRule="exact"/>
        <w:ind w:firstLine="640"/>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（三）</w:t>
      </w:r>
      <w:r>
        <w:rPr>
          <w:rFonts w:hint="eastAsia" w:ascii="仿宋_GB2312" w:hAnsi="仿宋_GB2312" w:cs="仿宋_GB2312"/>
          <w:b/>
          <w:bCs/>
          <w:color w:val="000000"/>
          <w:kern w:val="2"/>
          <w:sz w:val="32"/>
          <w:szCs w:val="32"/>
        </w:rPr>
        <w:t>审核</w:t>
      </w:r>
      <w:r>
        <w:rPr>
          <w:rFonts w:hint="eastAsia" w:ascii="仿宋_GB2312" w:hAnsi="仿宋_GB2312" w:cs="仿宋_GB2312"/>
          <w:color w:val="000000"/>
          <w:kern w:val="2"/>
          <w:sz w:val="32"/>
          <w:szCs w:val="32"/>
        </w:rPr>
        <w:t>：经开区</w:t>
      </w:r>
      <w:r>
        <w:rPr>
          <w:rFonts w:hint="eastAsia" w:ascii="仿宋_GB2312" w:hAnsi="仿宋_GB2312" w:cs="仿宋_GB2312"/>
          <w:color w:val="000000"/>
          <w:sz w:val="32"/>
          <w:szCs w:val="32"/>
        </w:rPr>
        <w:t>科技创新局</w:t>
      </w:r>
      <w:r>
        <w:rPr>
          <w:rFonts w:hint="eastAsia" w:ascii="仿宋_GB2312" w:hAnsi="仿宋_GB2312" w:cs="仿宋_GB2312"/>
          <w:color w:val="000000"/>
          <w:kern w:val="2"/>
          <w:sz w:val="32"/>
          <w:szCs w:val="32"/>
        </w:rPr>
        <w:t>对申请材料进行实质审核。</w:t>
      </w:r>
    </w:p>
    <w:p>
      <w:pPr>
        <w:pStyle w:val="11"/>
        <w:shd w:val="clear" w:color="auto" w:fill="FFFFFF"/>
        <w:spacing w:beforeAutospacing="0" w:afterAutospacing="0" w:line="560" w:lineRule="exact"/>
        <w:ind w:firstLine="640"/>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（四）</w:t>
      </w:r>
      <w:r>
        <w:rPr>
          <w:rFonts w:hint="eastAsia" w:ascii="仿宋_GB2312" w:hAnsi="仿宋_GB2312" w:cs="仿宋_GB2312"/>
          <w:b/>
          <w:bCs/>
          <w:color w:val="000000"/>
          <w:kern w:val="2"/>
          <w:sz w:val="32"/>
          <w:szCs w:val="32"/>
        </w:rPr>
        <w:t>线下受理</w:t>
      </w:r>
      <w:r>
        <w:rPr>
          <w:rFonts w:hint="eastAsia" w:ascii="仿宋_GB2312" w:hAnsi="仿宋_GB2312" w:cs="仿宋_GB2312"/>
          <w:color w:val="000000"/>
          <w:kern w:val="2"/>
          <w:sz w:val="32"/>
          <w:szCs w:val="32"/>
        </w:rPr>
        <w:t>：申报主体在规定期间内从平台下载带水印的申报材料进行打印，并前往政务服务中心“政策申报”窗口提交材料，工作人员核验，与网上提交材料一致的，予以收件；不符合的，当场告知补正要求。</w:t>
      </w:r>
    </w:p>
    <w:p>
      <w:pPr>
        <w:pStyle w:val="11"/>
        <w:shd w:val="clear" w:color="auto" w:fill="FFFFFF"/>
        <w:spacing w:beforeAutospacing="0" w:afterAutospacing="0" w:line="560" w:lineRule="exact"/>
        <w:ind w:firstLine="640"/>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（五）</w:t>
      </w:r>
      <w:r>
        <w:rPr>
          <w:rFonts w:hint="eastAsia" w:ascii="仿宋_GB2312" w:hAnsi="仿宋_GB2312" w:cs="仿宋_GB2312"/>
          <w:b/>
          <w:bCs/>
          <w:color w:val="000000"/>
          <w:kern w:val="2"/>
          <w:sz w:val="32"/>
          <w:szCs w:val="32"/>
        </w:rPr>
        <w:t>专家评审：</w:t>
      </w:r>
      <w:r>
        <w:rPr>
          <w:rFonts w:hint="eastAsia" w:ascii="仿宋_GB2312" w:hAnsi="仿宋_GB2312" w:cs="仿宋_GB2312"/>
          <w:color w:val="000000"/>
          <w:kern w:val="2"/>
          <w:sz w:val="32"/>
          <w:szCs w:val="32"/>
        </w:rPr>
        <w:t>经开区科技创新局组织专家线下对申请材料进行评审，评审后将结果上传到系统。</w:t>
      </w:r>
    </w:p>
    <w:p>
      <w:pPr>
        <w:pStyle w:val="11"/>
        <w:shd w:val="clear" w:color="auto" w:fill="FFFFFF"/>
        <w:spacing w:beforeAutospacing="0" w:afterAutospacing="0" w:line="560" w:lineRule="exact"/>
        <w:ind w:firstLine="640"/>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（六）</w:t>
      </w:r>
      <w:r>
        <w:rPr>
          <w:rFonts w:hint="eastAsia" w:ascii="仿宋_GB2312" w:hAnsi="仿宋_GB2312" w:cs="仿宋_GB2312"/>
          <w:b/>
          <w:bCs/>
          <w:color w:val="000000"/>
          <w:kern w:val="2"/>
          <w:sz w:val="32"/>
          <w:szCs w:val="32"/>
        </w:rPr>
        <w:t>确定认定结果</w:t>
      </w:r>
      <w:r>
        <w:rPr>
          <w:rFonts w:hint="eastAsia" w:ascii="仿宋_GB2312" w:hAnsi="仿宋_GB2312" w:cs="仿宋_GB2312"/>
          <w:color w:val="000000"/>
          <w:kern w:val="2"/>
          <w:sz w:val="32"/>
          <w:szCs w:val="32"/>
        </w:rPr>
        <w:t>：经开区科技创新局对审核通过的申报主体拟定</w:t>
      </w:r>
      <w:r>
        <w:rPr>
          <w:rFonts w:hint="eastAsia" w:ascii="仿宋_GB2312" w:hAnsi="仿宋_GB2312" w:cs="仿宋_GB2312"/>
          <w:color w:val="000000"/>
          <w:kern w:val="2"/>
          <w:sz w:val="32"/>
          <w:szCs w:val="32"/>
          <w:highlight w:val="none"/>
        </w:rPr>
        <w:t>结果</w:t>
      </w:r>
      <w:r>
        <w:rPr>
          <w:rFonts w:hint="eastAsia" w:ascii="仿宋_GB2312" w:hAnsi="仿宋_GB2312" w:cs="仿宋_GB2312"/>
          <w:color w:val="000000"/>
          <w:kern w:val="2"/>
          <w:sz w:val="32"/>
          <w:szCs w:val="32"/>
        </w:rPr>
        <w:t>。</w:t>
      </w:r>
    </w:p>
    <w:p>
      <w:pPr>
        <w:pStyle w:val="11"/>
        <w:shd w:val="clear" w:color="auto" w:fill="FFFFFF"/>
        <w:spacing w:beforeAutospacing="0" w:afterAutospacing="0" w:line="560" w:lineRule="exact"/>
        <w:ind w:firstLine="640"/>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（七）</w:t>
      </w:r>
      <w:r>
        <w:rPr>
          <w:rFonts w:hint="eastAsia" w:ascii="仿宋_GB2312" w:hAnsi="仿宋_GB2312" w:cs="仿宋_GB2312"/>
          <w:b/>
          <w:bCs/>
          <w:color w:val="000000"/>
          <w:kern w:val="2"/>
          <w:sz w:val="32"/>
          <w:szCs w:val="32"/>
        </w:rPr>
        <w:t>公示</w:t>
      </w:r>
      <w:r>
        <w:rPr>
          <w:rFonts w:hint="eastAsia" w:ascii="仿宋_GB2312" w:hAnsi="仿宋_GB2312" w:cs="仿宋_GB2312"/>
          <w:color w:val="000000"/>
          <w:kern w:val="2"/>
          <w:sz w:val="32"/>
          <w:szCs w:val="32"/>
        </w:rPr>
        <w:t>：经开区科技创新局通过政策兑现综合服务平台对审核通过的申报主体进行公示。</w:t>
      </w:r>
    </w:p>
    <w:p>
      <w:pPr>
        <w:pStyle w:val="11"/>
        <w:shd w:val="clear" w:color="auto" w:fill="FFFFFF"/>
        <w:spacing w:beforeAutospacing="0" w:afterAutospacing="0" w:line="560" w:lineRule="exact"/>
        <w:ind w:firstLine="640"/>
        <w:rPr>
          <w:rFonts w:ascii="仿宋_GB2312" w:hAnsi="仿宋_GB2312" w:cs="仿宋_GB2312"/>
          <w:color w:val="000000"/>
          <w:sz w:val="32"/>
          <w:szCs w:val="32"/>
        </w:rPr>
      </w:pPr>
      <w:r>
        <w:rPr>
          <w:rFonts w:hint="eastAsia" w:ascii="仿宋_GB2312" w:hAnsi="仿宋_GB2312" w:cs="仿宋_GB2312"/>
          <w:color w:val="000000"/>
          <w:kern w:val="2"/>
          <w:sz w:val="32"/>
          <w:szCs w:val="32"/>
        </w:rPr>
        <w:t>（八）</w:t>
      </w:r>
      <w:r>
        <w:rPr>
          <w:rFonts w:hint="eastAsia" w:ascii="仿宋_GB2312" w:hAnsi="仿宋_GB2312" w:cs="仿宋_GB2312"/>
          <w:b/>
          <w:bCs/>
          <w:color w:val="000000"/>
          <w:kern w:val="2"/>
          <w:sz w:val="32"/>
          <w:szCs w:val="32"/>
        </w:rPr>
        <w:t>结果公布</w:t>
      </w:r>
      <w:r>
        <w:rPr>
          <w:rFonts w:hint="eastAsia" w:ascii="仿宋_GB2312" w:hAnsi="仿宋_GB2312" w:cs="仿宋_GB2312"/>
          <w:color w:val="000000"/>
          <w:kern w:val="2"/>
          <w:sz w:val="32"/>
          <w:szCs w:val="32"/>
        </w:rPr>
        <w:t>：经公示无异议的，</w:t>
      </w:r>
      <w:r>
        <w:rPr>
          <w:rFonts w:hint="eastAsia" w:ascii="仿宋_GB2312" w:hAnsi="仿宋_GB2312" w:cs="仿宋_GB2312"/>
          <w:color w:val="000000"/>
          <w:kern w:val="2"/>
          <w:sz w:val="32"/>
          <w:szCs w:val="32"/>
          <w:highlight w:val="none"/>
        </w:rPr>
        <w:t>经开区科技创新局授予创新孵化载体（众创空间）称号</w:t>
      </w:r>
      <w:r>
        <w:rPr>
          <w:rFonts w:hint="eastAsia" w:ascii="仿宋_GB2312" w:hAnsi="仿宋_GB2312" w:cs="仿宋_GB2312"/>
          <w:color w:val="000000"/>
          <w:kern w:val="2"/>
          <w:sz w:val="32"/>
          <w:szCs w:val="32"/>
        </w:rPr>
        <w:t>。</w:t>
      </w:r>
    </w:p>
    <w:p>
      <w:pPr>
        <w:ind w:firstLine="640"/>
        <w:outlineLvl w:val="0"/>
        <w:rPr>
          <w:rFonts w:ascii="黑体" w:hAnsi="黑体" w:eastAsia="黑体" w:cs="黑体"/>
          <w:szCs w:val="32"/>
        </w:rPr>
      </w:pPr>
      <w:r>
        <w:rPr>
          <w:rFonts w:hint="eastAsia" w:ascii="黑体" w:hAnsi="黑体" w:eastAsia="黑体" w:cs="黑体"/>
          <w:szCs w:val="32"/>
          <w:lang w:val="en-US" w:eastAsia="zh-CN"/>
        </w:rPr>
        <w:t>七</w:t>
      </w:r>
      <w:r>
        <w:rPr>
          <w:rFonts w:hint="eastAsia" w:ascii="黑体" w:hAnsi="黑体" w:eastAsia="黑体" w:cs="黑体"/>
          <w:szCs w:val="32"/>
        </w:rPr>
        <w:t>、主责部门</w:t>
      </w:r>
    </w:p>
    <w:p>
      <w:pPr>
        <w:ind w:firstLine="640"/>
        <w:rPr>
          <w:rFonts w:ascii="仿宋_GB2312" w:hAnsi="仿宋_GB2312" w:cs="仿宋_GB2312"/>
          <w:b/>
          <w:bCs/>
          <w:szCs w:val="32"/>
        </w:rPr>
      </w:pPr>
      <w:r>
        <w:rPr>
          <w:rFonts w:hint="eastAsia" w:cs="仿宋_GB2312"/>
          <w:szCs w:val="32"/>
        </w:rPr>
        <w:t>经开区科技创新局</w:t>
      </w:r>
    </w:p>
    <w:p>
      <w:pPr>
        <w:ind w:firstLine="640"/>
        <w:outlineLvl w:val="0"/>
        <w:rPr>
          <w:rFonts w:ascii="黑体" w:hAnsi="黑体" w:eastAsia="黑体" w:cs="黑体"/>
          <w:szCs w:val="32"/>
        </w:rPr>
      </w:pPr>
      <w:r>
        <w:rPr>
          <w:rFonts w:hint="eastAsia" w:ascii="黑体" w:hAnsi="黑体" w:eastAsia="黑体" w:cs="黑体"/>
          <w:szCs w:val="32"/>
          <w:lang w:val="en-US" w:eastAsia="zh-CN"/>
        </w:rPr>
        <w:t>八</w:t>
      </w:r>
      <w:r>
        <w:rPr>
          <w:rFonts w:hint="eastAsia" w:ascii="黑体" w:hAnsi="黑体" w:eastAsia="黑体" w:cs="黑体"/>
          <w:szCs w:val="32"/>
        </w:rPr>
        <w:t>、受理窗口</w:t>
      </w:r>
    </w:p>
    <w:p>
      <w:pPr>
        <w:ind w:firstLine="640"/>
        <w:outlineLvl w:val="0"/>
        <w:rPr>
          <w:rFonts w:ascii="仿宋_GB2312" w:hAnsi="仿宋_GB2312" w:cs="仿宋_GB2312"/>
          <w:szCs w:val="32"/>
        </w:rPr>
      </w:pPr>
      <w:r>
        <w:rPr>
          <w:rFonts w:hint="eastAsia" w:ascii="仿宋_GB2312" w:hAnsi="仿宋_GB2312" w:cs="仿宋_GB2312"/>
          <w:szCs w:val="32"/>
        </w:rPr>
        <w:t>北京经济技术开发区万源街4号政务服务中心“政策申报”窗口</w:t>
      </w:r>
    </w:p>
    <w:p>
      <w:pPr>
        <w:ind w:firstLine="640"/>
        <w:outlineLvl w:val="0"/>
        <w:rPr>
          <w:rFonts w:ascii="黑体" w:hAnsi="黑体" w:eastAsia="黑体" w:cs="黑体"/>
          <w:szCs w:val="32"/>
        </w:rPr>
      </w:pPr>
      <w:r>
        <w:rPr>
          <w:rFonts w:hint="eastAsia" w:ascii="黑体" w:hAnsi="黑体" w:eastAsia="黑体" w:cs="黑体"/>
          <w:szCs w:val="32"/>
          <w:lang w:val="en-US" w:eastAsia="zh-CN"/>
        </w:rPr>
        <w:t>九</w:t>
      </w:r>
      <w:r>
        <w:rPr>
          <w:rFonts w:hint="eastAsia" w:ascii="黑体" w:hAnsi="黑体" w:eastAsia="黑体" w:cs="黑体"/>
          <w:szCs w:val="32"/>
        </w:rPr>
        <w:t>、申报时间</w:t>
      </w:r>
    </w:p>
    <w:p>
      <w:pPr>
        <w:ind w:firstLine="640"/>
        <w:rPr>
          <w:rFonts w:ascii="仿宋_GB2312" w:hAnsi="仿宋_GB2312" w:cs="仿宋_GB2312"/>
          <w:szCs w:val="32"/>
        </w:rPr>
      </w:pPr>
      <w:r>
        <w:rPr>
          <w:rFonts w:hint="eastAsia" w:ascii="仿宋_GB2312" w:hAnsi="仿宋_GB2312" w:cs="仿宋_GB2312"/>
          <w:szCs w:val="32"/>
        </w:rPr>
        <w:t>20</w:t>
      </w:r>
      <w:r>
        <w:rPr>
          <w:rFonts w:ascii="仿宋_GB2312" w:hAnsi="仿宋_GB2312" w:cs="仿宋_GB2312"/>
          <w:szCs w:val="32"/>
        </w:rPr>
        <w:t>2</w:t>
      </w:r>
      <w:r>
        <w:rPr>
          <w:rFonts w:hint="eastAsia" w:ascii="仿宋_GB2312" w:hAnsi="仿宋_GB2312" w:cs="仿宋_GB2312"/>
          <w:szCs w:val="32"/>
          <w:lang w:val="en-US" w:eastAsia="zh-CN"/>
        </w:rPr>
        <w:t>4</w:t>
      </w:r>
      <w:r>
        <w:rPr>
          <w:rFonts w:hint="eastAsia" w:ascii="仿宋_GB2312" w:hAnsi="仿宋_GB2312" w:cs="仿宋_GB2312"/>
          <w:szCs w:val="32"/>
        </w:rPr>
        <w:t>年</w:t>
      </w:r>
      <w:r>
        <w:rPr>
          <w:rFonts w:ascii="仿宋_GB2312" w:hAnsi="仿宋_GB2312" w:cs="仿宋_GB2312"/>
          <w:szCs w:val="32"/>
        </w:rPr>
        <w:t>3</w:t>
      </w:r>
      <w:r>
        <w:rPr>
          <w:rFonts w:hint="eastAsia" w:ascii="仿宋_GB2312" w:hAnsi="仿宋_GB2312" w:cs="仿宋_GB2312"/>
          <w:szCs w:val="32"/>
        </w:rPr>
        <w:t>月</w:t>
      </w:r>
      <w:r>
        <w:rPr>
          <w:rFonts w:hint="eastAsia" w:ascii="仿宋_GB2312" w:hAnsi="仿宋_GB2312" w:cs="仿宋_GB2312"/>
          <w:szCs w:val="32"/>
          <w:lang w:val="en-US" w:eastAsia="zh-CN"/>
        </w:rPr>
        <w:t>1</w:t>
      </w:r>
      <w:r>
        <w:rPr>
          <w:rFonts w:hint="eastAsia" w:ascii="仿宋_GB2312" w:hAnsi="仿宋_GB2312" w:cs="仿宋_GB2312"/>
          <w:szCs w:val="32"/>
        </w:rPr>
        <w:t>日至20</w:t>
      </w:r>
      <w:r>
        <w:rPr>
          <w:rFonts w:ascii="仿宋_GB2312" w:hAnsi="仿宋_GB2312" w:cs="仿宋_GB2312"/>
          <w:szCs w:val="32"/>
        </w:rPr>
        <w:t>2</w:t>
      </w:r>
      <w:r>
        <w:rPr>
          <w:rFonts w:hint="eastAsia" w:ascii="仿宋_GB2312" w:hAnsi="仿宋_GB2312" w:cs="仿宋_GB2312"/>
          <w:szCs w:val="32"/>
          <w:lang w:val="en-US" w:eastAsia="zh-CN"/>
        </w:rPr>
        <w:t>4</w:t>
      </w:r>
      <w:r>
        <w:rPr>
          <w:rFonts w:hint="eastAsia" w:ascii="仿宋_GB2312" w:hAnsi="仿宋_GB2312" w:cs="仿宋_GB2312"/>
          <w:szCs w:val="32"/>
        </w:rPr>
        <w:t>年</w:t>
      </w:r>
      <w:r>
        <w:rPr>
          <w:rFonts w:hint="eastAsia" w:ascii="仿宋_GB2312" w:hAnsi="仿宋_GB2312" w:cs="仿宋_GB2312"/>
          <w:szCs w:val="32"/>
          <w:lang w:val="en-US" w:eastAsia="zh-CN"/>
        </w:rPr>
        <w:t>3</w:t>
      </w:r>
      <w:r>
        <w:rPr>
          <w:rFonts w:hint="eastAsia" w:ascii="仿宋_GB2312" w:hAnsi="仿宋_GB2312" w:cs="仿宋_GB2312"/>
          <w:szCs w:val="32"/>
        </w:rPr>
        <w:t>月</w:t>
      </w:r>
      <w:r>
        <w:rPr>
          <w:rFonts w:hint="eastAsia" w:ascii="仿宋_GB2312" w:hAnsi="仿宋_GB2312" w:cs="仿宋_GB2312"/>
          <w:szCs w:val="32"/>
          <w:lang w:val="en-US" w:eastAsia="zh-CN"/>
        </w:rPr>
        <w:t>31</w:t>
      </w:r>
      <w:r>
        <w:rPr>
          <w:rFonts w:hint="eastAsia" w:ascii="仿宋_GB2312" w:hAnsi="仿宋_GB2312" w:cs="仿宋_GB2312"/>
          <w:szCs w:val="32"/>
        </w:rPr>
        <w:t>日</w:t>
      </w:r>
    </w:p>
    <w:p>
      <w:pPr>
        <w:ind w:firstLine="640"/>
        <w:outlineLvl w:val="0"/>
        <w:rPr>
          <w:rFonts w:ascii="黑体" w:hAnsi="黑体" w:eastAsia="黑体" w:cs="黑体"/>
          <w:szCs w:val="32"/>
        </w:rPr>
      </w:pPr>
      <w:r>
        <w:rPr>
          <w:rFonts w:hint="eastAsia" w:ascii="黑体" w:hAnsi="黑体" w:eastAsia="黑体" w:cs="黑体"/>
          <w:szCs w:val="32"/>
          <w:lang w:val="en-US" w:eastAsia="zh-CN"/>
        </w:rPr>
        <w:t>十</w:t>
      </w:r>
      <w:r>
        <w:rPr>
          <w:rFonts w:hint="eastAsia" w:ascii="黑体" w:hAnsi="黑体" w:eastAsia="黑体" w:cs="黑体"/>
          <w:szCs w:val="32"/>
        </w:rPr>
        <w:t>、联系人及联系方式</w:t>
      </w:r>
    </w:p>
    <w:p>
      <w:pPr>
        <w:ind w:firstLine="640"/>
        <w:rPr>
          <w:szCs w:val="32"/>
        </w:rPr>
      </w:pPr>
      <w:r>
        <w:rPr>
          <w:rFonts w:hint="eastAsia"/>
          <w:szCs w:val="32"/>
        </w:rPr>
        <w:t>政策咨询：</w:t>
      </w:r>
    </w:p>
    <w:p>
      <w:pPr>
        <w:ind w:firstLine="640"/>
        <w:rPr>
          <w:szCs w:val="32"/>
        </w:rPr>
      </w:pPr>
      <w:r>
        <w:rPr>
          <w:rFonts w:hint="eastAsia"/>
          <w:szCs w:val="32"/>
        </w:rPr>
        <w:t>经开区政务服务中心“政策申报”窗口，联系电话：</w:t>
      </w:r>
      <w:r>
        <w:rPr>
          <w:rFonts w:hint="eastAsia" w:ascii="仿宋_GB2312" w:hAnsi="仿宋_GB2312" w:cs="仿宋_GB2312"/>
          <w:szCs w:val="32"/>
        </w:rPr>
        <w:t>010-67857687</w:t>
      </w:r>
      <w:r>
        <w:rPr>
          <w:rFonts w:hint="eastAsia"/>
          <w:szCs w:val="32"/>
        </w:rPr>
        <w:t>；</w:t>
      </w:r>
      <w:r>
        <w:rPr>
          <w:rFonts w:hint="eastAsia" w:ascii="仿宋_GB2312" w:hAnsi="仿宋_GB2312" w:cs="仿宋_GB2312"/>
          <w:szCs w:val="32"/>
        </w:rPr>
        <w:t>010-67857878转4，工作日上午9:00—12:00，下午1:30—5:00。</w:t>
      </w:r>
    </w:p>
    <w:p>
      <w:pPr>
        <w:wordWrap w:val="0"/>
        <w:ind w:firstLine="640"/>
        <w:rPr>
          <w:szCs w:val="32"/>
        </w:rPr>
      </w:pPr>
      <w:r>
        <w:rPr>
          <w:rFonts w:hint="eastAsia"/>
          <w:szCs w:val="32"/>
        </w:rPr>
        <w:t>经开</w:t>
      </w:r>
      <w:r>
        <w:rPr>
          <w:rFonts w:hint="eastAsia" w:ascii="仿宋_GB2312" w:hAnsi="仿宋_GB2312" w:cs="仿宋_GB2312"/>
          <w:szCs w:val="32"/>
        </w:rPr>
        <w:t>区科技创新局，联系人：</w:t>
      </w:r>
      <w:r>
        <w:rPr>
          <w:rFonts w:hint="eastAsia" w:ascii="仿宋_GB2312" w:hAnsi="仿宋_GB2312" w:cs="仿宋_GB2312"/>
          <w:szCs w:val="32"/>
          <w:lang w:eastAsia="zh-CN"/>
        </w:rPr>
        <w:t>陈丹丹</w:t>
      </w:r>
      <w:r>
        <w:rPr>
          <w:rFonts w:hint="eastAsia" w:ascii="仿宋_GB2312" w:hAnsi="仿宋_GB2312" w:cs="仿宋_GB2312"/>
          <w:szCs w:val="32"/>
        </w:rPr>
        <w:t>，联系电话：010-</w:t>
      </w:r>
      <w:r>
        <w:rPr>
          <w:rFonts w:ascii="仿宋_GB2312" w:hAnsi="仿宋_GB2312" w:cs="仿宋_GB2312"/>
          <w:szCs w:val="32"/>
        </w:rPr>
        <w:t>67889710</w:t>
      </w:r>
      <w:r>
        <w:rPr>
          <w:rFonts w:hint="eastAsia" w:ascii="仿宋_GB2312" w:hAnsi="仿宋_GB2312" w:cs="仿宋_GB2312"/>
          <w:szCs w:val="32"/>
        </w:rPr>
        <w:t>，工作日上午9:00—12:00，下午2:00—6:00。</w:t>
      </w:r>
    </w:p>
    <w:p>
      <w:pPr>
        <w:ind w:firstLine="640"/>
        <w:rPr>
          <w:szCs w:val="32"/>
        </w:rPr>
      </w:pPr>
      <w:r>
        <w:rPr>
          <w:rFonts w:hint="eastAsia"/>
          <w:szCs w:val="32"/>
        </w:rPr>
        <w:t>技术支持：</w:t>
      </w:r>
    </w:p>
    <w:p>
      <w:pPr>
        <w:ind w:firstLine="640"/>
        <w:rPr>
          <w:szCs w:val="32"/>
        </w:rPr>
      </w:pPr>
      <w:r>
        <w:rPr>
          <w:rFonts w:hint="eastAsia"/>
          <w:szCs w:val="32"/>
        </w:rPr>
        <w:t>联系电话</w:t>
      </w:r>
      <w:r>
        <w:rPr>
          <w:rFonts w:hint="eastAsia" w:ascii="仿宋_GB2312" w:hAnsi="仿宋_GB2312" w:cs="仿宋_GB2312"/>
          <w:szCs w:val="32"/>
        </w:rPr>
        <w:t>：010-67857638，工作日上午9:00—12:00，下午2:00—6:00。</w:t>
      </w:r>
    </w:p>
    <w:p>
      <w:pPr>
        <w:ind w:firstLine="640"/>
        <w:outlineLvl w:val="0"/>
        <w:rPr>
          <w:rFonts w:ascii="仿宋_GB2312" w:hAnsi="仿宋_GB2312" w:cs="仿宋_GB2312"/>
          <w:szCs w:val="32"/>
        </w:rPr>
      </w:pPr>
      <w:r>
        <w:rPr>
          <w:rFonts w:hint="eastAsia" w:ascii="黑体" w:hAnsi="黑体" w:eastAsia="黑体" w:cs="黑体"/>
          <w:szCs w:val="32"/>
        </w:rPr>
        <w:t>十</w:t>
      </w:r>
      <w:r>
        <w:rPr>
          <w:rFonts w:hint="eastAsia" w:ascii="黑体" w:hAnsi="黑体" w:eastAsia="黑体" w:cs="黑体"/>
          <w:szCs w:val="32"/>
          <w:lang w:val="en-US" w:eastAsia="zh-CN"/>
        </w:rPr>
        <w:t>一</w:t>
      </w:r>
      <w:r>
        <w:rPr>
          <w:rFonts w:hint="eastAsia" w:ascii="黑体" w:hAnsi="黑体" w:eastAsia="黑体" w:cs="黑体"/>
          <w:szCs w:val="32"/>
        </w:rPr>
        <w:t>、收费标准</w:t>
      </w:r>
    </w:p>
    <w:p>
      <w:pPr>
        <w:ind w:firstLine="640"/>
        <w:rPr>
          <w:rFonts w:ascii="仿宋_GB2312" w:hAnsi="仿宋_GB2312" w:cs="仿宋_GB2312"/>
          <w:szCs w:val="32"/>
        </w:rPr>
      </w:pPr>
      <w:r>
        <w:rPr>
          <w:rFonts w:hint="eastAsia" w:ascii="仿宋_GB2312" w:hAnsi="仿宋_GB2312" w:cs="仿宋_GB2312"/>
          <w:szCs w:val="32"/>
        </w:rPr>
        <w:t>不收费</w:t>
      </w:r>
    </w:p>
    <w:p>
      <w:pPr>
        <w:ind w:firstLine="640"/>
        <w:outlineLvl w:val="0"/>
        <w:rPr>
          <w:rFonts w:ascii="黑体" w:hAnsi="黑体" w:eastAsia="黑体" w:cs="黑体"/>
          <w:szCs w:val="32"/>
        </w:rPr>
      </w:pPr>
      <w:r>
        <w:rPr>
          <w:rFonts w:hint="eastAsia" w:ascii="黑体" w:hAnsi="黑体" w:eastAsia="黑体" w:cs="黑体"/>
          <w:szCs w:val="32"/>
        </w:rPr>
        <w:t>十</w:t>
      </w:r>
      <w:r>
        <w:rPr>
          <w:rFonts w:hint="eastAsia" w:ascii="黑体" w:hAnsi="黑体" w:eastAsia="黑体" w:cs="黑体"/>
          <w:szCs w:val="32"/>
          <w:lang w:val="en-US" w:eastAsia="zh-CN"/>
        </w:rPr>
        <w:t>二</w:t>
      </w:r>
      <w:r>
        <w:rPr>
          <w:rFonts w:hint="eastAsia" w:ascii="黑体" w:hAnsi="黑体" w:eastAsia="黑体" w:cs="黑体"/>
          <w:szCs w:val="32"/>
        </w:rPr>
        <w:t>、特别说明</w:t>
      </w:r>
    </w:p>
    <w:p>
      <w:pPr>
        <w:widowControl/>
        <w:spacing w:line="560" w:lineRule="exact"/>
        <w:ind w:firstLine="640"/>
        <w:jc w:val="left"/>
        <w:rPr>
          <w:rFonts w:ascii="仿宋_GB2312" w:hAnsi="仿宋_GB2312" w:cs="仿宋_GB2312"/>
          <w:szCs w:val="32"/>
        </w:rPr>
      </w:pPr>
      <w:r>
        <w:rPr>
          <w:rFonts w:hint="eastAsia" w:ascii="仿宋_GB2312" w:hAnsi="仿宋_GB2312" w:cs="仿宋_GB2312"/>
          <w:szCs w:val="32"/>
        </w:rPr>
        <w:t>无</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992"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等线">
    <w:altName w:val="汉仪中宋简"/>
    <w:panose1 w:val="02010600030101010101"/>
    <w:charset w:val="86"/>
    <w:family w:val="auto"/>
    <w:pitch w:val="default"/>
    <w:sig w:usb0="00000000" w:usb1="00000000" w:usb2="00000016" w:usb3="00000000" w:csb0="0004000F" w:csb1="00000000"/>
  </w:font>
  <w:font w:name="汉仪中宋简">
    <w:panose1 w:val="02010600000101010101"/>
    <w:charset w:val="86"/>
    <w:family w:val="auto"/>
    <w:pitch w:val="default"/>
    <w:sig w:usb0="00000001" w:usb1="080E0800" w:usb2="00000002" w:usb3="00000000" w:csb0="00040000" w:csb1="00000000"/>
  </w:font>
  <w:font w:name="等线 Light">
    <w:altName w:val="汉仪中宋简"/>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隶书">
    <w:panose1 w:val="00000000000000000000"/>
    <w:charset w:val="00"/>
    <w:family w:val="auto"/>
    <w:pitch w:val="default"/>
    <w:sig w:usb0="00000000" w:usb1="00000000" w:usb2="00000000" w:usb3="00000000" w:csb0="0000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9"/>
          <w:ind w:firstLine="360"/>
          <w:jc w:val="cente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sdtContent>
  </w:sdt>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QwYWZiYTFkNDAxYzQ4OGUzOTE5YjEwOWY0ZTY1MTYifQ=="/>
  </w:docVars>
  <w:rsids>
    <w:rsidRoot w:val="00360EF1"/>
    <w:rsid w:val="0001192B"/>
    <w:rsid w:val="00016F81"/>
    <w:rsid w:val="00023155"/>
    <w:rsid w:val="00037A33"/>
    <w:rsid w:val="00044346"/>
    <w:rsid w:val="00046D03"/>
    <w:rsid w:val="00055439"/>
    <w:rsid w:val="00062C5F"/>
    <w:rsid w:val="00063295"/>
    <w:rsid w:val="00076283"/>
    <w:rsid w:val="00094E51"/>
    <w:rsid w:val="000B2FC8"/>
    <w:rsid w:val="000C03F1"/>
    <w:rsid w:val="000C153D"/>
    <w:rsid w:val="000C6C5E"/>
    <w:rsid w:val="000E12DF"/>
    <w:rsid w:val="000E4CF7"/>
    <w:rsid w:val="000F62F2"/>
    <w:rsid w:val="000F72A0"/>
    <w:rsid w:val="001145E7"/>
    <w:rsid w:val="00123352"/>
    <w:rsid w:val="00125F0A"/>
    <w:rsid w:val="00127F8C"/>
    <w:rsid w:val="0013239A"/>
    <w:rsid w:val="00133391"/>
    <w:rsid w:val="00145E37"/>
    <w:rsid w:val="00155829"/>
    <w:rsid w:val="00161422"/>
    <w:rsid w:val="00161CCE"/>
    <w:rsid w:val="001626B6"/>
    <w:rsid w:val="00173896"/>
    <w:rsid w:val="0018185E"/>
    <w:rsid w:val="00187E77"/>
    <w:rsid w:val="0019239A"/>
    <w:rsid w:val="001A0E5C"/>
    <w:rsid w:val="001A1971"/>
    <w:rsid w:val="001B73D7"/>
    <w:rsid w:val="001C0F5E"/>
    <w:rsid w:val="001D63B8"/>
    <w:rsid w:val="001E07DD"/>
    <w:rsid w:val="001F29E0"/>
    <w:rsid w:val="00214579"/>
    <w:rsid w:val="002413DA"/>
    <w:rsid w:val="0026278B"/>
    <w:rsid w:val="002629ED"/>
    <w:rsid w:val="00263B3C"/>
    <w:rsid w:val="002642AE"/>
    <w:rsid w:val="002723D1"/>
    <w:rsid w:val="002838D9"/>
    <w:rsid w:val="002A3615"/>
    <w:rsid w:val="002A467B"/>
    <w:rsid w:val="002B0BD3"/>
    <w:rsid w:val="002B56A4"/>
    <w:rsid w:val="002B6F2D"/>
    <w:rsid w:val="002D401D"/>
    <w:rsid w:val="002D6181"/>
    <w:rsid w:val="00306053"/>
    <w:rsid w:val="00317662"/>
    <w:rsid w:val="0032598F"/>
    <w:rsid w:val="00336252"/>
    <w:rsid w:val="00343818"/>
    <w:rsid w:val="00350B20"/>
    <w:rsid w:val="00351149"/>
    <w:rsid w:val="00356BA8"/>
    <w:rsid w:val="00360EF1"/>
    <w:rsid w:val="00386AF3"/>
    <w:rsid w:val="0039603C"/>
    <w:rsid w:val="003A0C42"/>
    <w:rsid w:val="003B09B8"/>
    <w:rsid w:val="003B2060"/>
    <w:rsid w:val="003E37A3"/>
    <w:rsid w:val="003F5D0C"/>
    <w:rsid w:val="00402A70"/>
    <w:rsid w:val="004069A2"/>
    <w:rsid w:val="00420444"/>
    <w:rsid w:val="00426E48"/>
    <w:rsid w:val="00433959"/>
    <w:rsid w:val="0043399A"/>
    <w:rsid w:val="00452722"/>
    <w:rsid w:val="00457966"/>
    <w:rsid w:val="00457B4D"/>
    <w:rsid w:val="0048074F"/>
    <w:rsid w:val="004A14BC"/>
    <w:rsid w:val="004A5CDE"/>
    <w:rsid w:val="004B5FCE"/>
    <w:rsid w:val="004B6D09"/>
    <w:rsid w:val="004D36FD"/>
    <w:rsid w:val="004E0643"/>
    <w:rsid w:val="004E5D10"/>
    <w:rsid w:val="004F75E2"/>
    <w:rsid w:val="00503A49"/>
    <w:rsid w:val="00512387"/>
    <w:rsid w:val="00537ACF"/>
    <w:rsid w:val="00545F4A"/>
    <w:rsid w:val="00562B45"/>
    <w:rsid w:val="00592B3D"/>
    <w:rsid w:val="00593BAA"/>
    <w:rsid w:val="005A489D"/>
    <w:rsid w:val="005A6C9C"/>
    <w:rsid w:val="005A6FE5"/>
    <w:rsid w:val="005B1A7E"/>
    <w:rsid w:val="005B3BA9"/>
    <w:rsid w:val="005D4928"/>
    <w:rsid w:val="005D7118"/>
    <w:rsid w:val="005E458B"/>
    <w:rsid w:val="005F6569"/>
    <w:rsid w:val="00600A0E"/>
    <w:rsid w:val="00623E80"/>
    <w:rsid w:val="0062441E"/>
    <w:rsid w:val="00643189"/>
    <w:rsid w:val="00664AE0"/>
    <w:rsid w:val="006735C2"/>
    <w:rsid w:val="006778F5"/>
    <w:rsid w:val="00677B3A"/>
    <w:rsid w:val="00690A85"/>
    <w:rsid w:val="00694471"/>
    <w:rsid w:val="006D0140"/>
    <w:rsid w:val="006E04DB"/>
    <w:rsid w:val="006F6ED3"/>
    <w:rsid w:val="00710378"/>
    <w:rsid w:val="0071558E"/>
    <w:rsid w:val="007242BB"/>
    <w:rsid w:val="0076540D"/>
    <w:rsid w:val="00782FB6"/>
    <w:rsid w:val="00796E58"/>
    <w:rsid w:val="007A71D3"/>
    <w:rsid w:val="007C046D"/>
    <w:rsid w:val="007C140B"/>
    <w:rsid w:val="007D5D93"/>
    <w:rsid w:val="007E30FB"/>
    <w:rsid w:val="00800EF5"/>
    <w:rsid w:val="008230DF"/>
    <w:rsid w:val="00825F6A"/>
    <w:rsid w:val="008329B8"/>
    <w:rsid w:val="00832A22"/>
    <w:rsid w:val="0083416D"/>
    <w:rsid w:val="008607A8"/>
    <w:rsid w:val="008833F9"/>
    <w:rsid w:val="00893967"/>
    <w:rsid w:val="00894A7A"/>
    <w:rsid w:val="008A476C"/>
    <w:rsid w:val="008B0CFC"/>
    <w:rsid w:val="008B4835"/>
    <w:rsid w:val="008E6632"/>
    <w:rsid w:val="008F2DD3"/>
    <w:rsid w:val="00900A14"/>
    <w:rsid w:val="00915644"/>
    <w:rsid w:val="009163F3"/>
    <w:rsid w:val="00927E74"/>
    <w:rsid w:val="00934A2A"/>
    <w:rsid w:val="00950CC7"/>
    <w:rsid w:val="00953E9A"/>
    <w:rsid w:val="00971BAD"/>
    <w:rsid w:val="00975E1A"/>
    <w:rsid w:val="0098077A"/>
    <w:rsid w:val="009813F9"/>
    <w:rsid w:val="009819D1"/>
    <w:rsid w:val="00982D58"/>
    <w:rsid w:val="0099374F"/>
    <w:rsid w:val="00995A20"/>
    <w:rsid w:val="009A09E7"/>
    <w:rsid w:val="009A1CC4"/>
    <w:rsid w:val="009A3E0E"/>
    <w:rsid w:val="009A665D"/>
    <w:rsid w:val="009D62D2"/>
    <w:rsid w:val="00A2635B"/>
    <w:rsid w:val="00A323F2"/>
    <w:rsid w:val="00A32746"/>
    <w:rsid w:val="00A35F6A"/>
    <w:rsid w:val="00A37067"/>
    <w:rsid w:val="00A52200"/>
    <w:rsid w:val="00A52E68"/>
    <w:rsid w:val="00A53FDB"/>
    <w:rsid w:val="00A5640E"/>
    <w:rsid w:val="00A61132"/>
    <w:rsid w:val="00A6260A"/>
    <w:rsid w:val="00A7134D"/>
    <w:rsid w:val="00A83B0B"/>
    <w:rsid w:val="00A84212"/>
    <w:rsid w:val="00A86521"/>
    <w:rsid w:val="00A97C83"/>
    <w:rsid w:val="00AA2399"/>
    <w:rsid w:val="00AA405F"/>
    <w:rsid w:val="00AC0D6E"/>
    <w:rsid w:val="00AD7B6B"/>
    <w:rsid w:val="00AE0A0E"/>
    <w:rsid w:val="00AF1F8B"/>
    <w:rsid w:val="00AF4273"/>
    <w:rsid w:val="00AF68BA"/>
    <w:rsid w:val="00B06CFF"/>
    <w:rsid w:val="00B13258"/>
    <w:rsid w:val="00B14D57"/>
    <w:rsid w:val="00B72E34"/>
    <w:rsid w:val="00B74D80"/>
    <w:rsid w:val="00B80484"/>
    <w:rsid w:val="00B80F9E"/>
    <w:rsid w:val="00B85633"/>
    <w:rsid w:val="00BA1306"/>
    <w:rsid w:val="00BC19A2"/>
    <w:rsid w:val="00BC7525"/>
    <w:rsid w:val="00BD28FE"/>
    <w:rsid w:val="00C01F9C"/>
    <w:rsid w:val="00C0594F"/>
    <w:rsid w:val="00C24AA1"/>
    <w:rsid w:val="00C61835"/>
    <w:rsid w:val="00C65FDE"/>
    <w:rsid w:val="00C7196D"/>
    <w:rsid w:val="00C73C44"/>
    <w:rsid w:val="00C87150"/>
    <w:rsid w:val="00C95857"/>
    <w:rsid w:val="00CB3D6C"/>
    <w:rsid w:val="00CD1C3A"/>
    <w:rsid w:val="00CD556E"/>
    <w:rsid w:val="00CE13DC"/>
    <w:rsid w:val="00CE7680"/>
    <w:rsid w:val="00CF3543"/>
    <w:rsid w:val="00D15944"/>
    <w:rsid w:val="00D41424"/>
    <w:rsid w:val="00D41E3D"/>
    <w:rsid w:val="00D41E8A"/>
    <w:rsid w:val="00D53AA6"/>
    <w:rsid w:val="00D71CED"/>
    <w:rsid w:val="00D812BF"/>
    <w:rsid w:val="00DA0B8F"/>
    <w:rsid w:val="00DA12E7"/>
    <w:rsid w:val="00DA1629"/>
    <w:rsid w:val="00DA1FEF"/>
    <w:rsid w:val="00DA51EF"/>
    <w:rsid w:val="00DA556B"/>
    <w:rsid w:val="00DB040B"/>
    <w:rsid w:val="00DB0F6C"/>
    <w:rsid w:val="00DC24FA"/>
    <w:rsid w:val="00DF09C2"/>
    <w:rsid w:val="00DF461E"/>
    <w:rsid w:val="00E04BBD"/>
    <w:rsid w:val="00E201F8"/>
    <w:rsid w:val="00E24E92"/>
    <w:rsid w:val="00E2761B"/>
    <w:rsid w:val="00E40F64"/>
    <w:rsid w:val="00E42612"/>
    <w:rsid w:val="00E42C12"/>
    <w:rsid w:val="00E43EA1"/>
    <w:rsid w:val="00E4461B"/>
    <w:rsid w:val="00E44C1A"/>
    <w:rsid w:val="00E951B4"/>
    <w:rsid w:val="00EA49D7"/>
    <w:rsid w:val="00EC1F6B"/>
    <w:rsid w:val="00EC3453"/>
    <w:rsid w:val="00F02FD1"/>
    <w:rsid w:val="00F0573C"/>
    <w:rsid w:val="00F17039"/>
    <w:rsid w:val="00F1756A"/>
    <w:rsid w:val="00F25683"/>
    <w:rsid w:val="00F32B9E"/>
    <w:rsid w:val="00F34721"/>
    <w:rsid w:val="00F3746B"/>
    <w:rsid w:val="00F415B0"/>
    <w:rsid w:val="00F42EA5"/>
    <w:rsid w:val="00F51821"/>
    <w:rsid w:val="00F5210A"/>
    <w:rsid w:val="00F54DE8"/>
    <w:rsid w:val="00F66AD7"/>
    <w:rsid w:val="00F83562"/>
    <w:rsid w:val="00F8419E"/>
    <w:rsid w:val="00FA67F1"/>
    <w:rsid w:val="00FB2FB0"/>
    <w:rsid w:val="00FB3354"/>
    <w:rsid w:val="00FB415A"/>
    <w:rsid w:val="00FC3E79"/>
    <w:rsid w:val="00FD0D01"/>
    <w:rsid w:val="00FD6A82"/>
    <w:rsid w:val="00FF454A"/>
    <w:rsid w:val="01D948CF"/>
    <w:rsid w:val="021F4B52"/>
    <w:rsid w:val="02925ED6"/>
    <w:rsid w:val="036E1E43"/>
    <w:rsid w:val="041A181B"/>
    <w:rsid w:val="048B28B7"/>
    <w:rsid w:val="04BF0B67"/>
    <w:rsid w:val="04DF658B"/>
    <w:rsid w:val="05120E67"/>
    <w:rsid w:val="0579D911"/>
    <w:rsid w:val="05933C0C"/>
    <w:rsid w:val="069635FE"/>
    <w:rsid w:val="06FE1C51"/>
    <w:rsid w:val="07936930"/>
    <w:rsid w:val="08322BA2"/>
    <w:rsid w:val="08925D0E"/>
    <w:rsid w:val="0A12715A"/>
    <w:rsid w:val="0ADD21C0"/>
    <w:rsid w:val="0AE54B2C"/>
    <w:rsid w:val="0B401B24"/>
    <w:rsid w:val="0C817D6C"/>
    <w:rsid w:val="0DF57B6B"/>
    <w:rsid w:val="0EA342FD"/>
    <w:rsid w:val="11655122"/>
    <w:rsid w:val="117D2BA9"/>
    <w:rsid w:val="126634D5"/>
    <w:rsid w:val="14036F1C"/>
    <w:rsid w:val="14A407D6"/>
    <w:rsid w:val="15094D8E"/>
    <w:rsid w:val="15B34768"/>
    <w:rsid w:val="176676BF"/>
    <w:rsid w:val="17F24553"/>
    <w:rsid w:val="197A58E4"/>
    <w:rsid w:val="1A3C6AD1"/>
    <w:rsid w:val="1A4330F4"/>
    <w:rsid w:val="1BFD9816"/>
    <w:rsid w:val="1C2B4E13"/>
    <w:rsid w:val="1C5C4DF1"/>
    <w:rsid w:val="1C8A10D3"/>
    <w:rsid w:val="1D3416C2"/>
    <w:rsid w:val="1D78BD8E"/>
    <w:rsid w:val="1DC7271C"/>
    <w:rsid w:val="1E183823"/>
    <w:rsid w:val="1E9FD02D"/>
    <w:rsid w:val="1ED7B654"/>
    <w:rsid w:val="1EFD05E9"/>
    <w:rsid w:val="1F9F6146"/>
    <w:rsid w:val="21335EBD"/>
    <w:rsid w:val="23403409"/>
    <w:rsid w:val="23654BF1"/>
    <w:rsid w:val="2555FC82"/>
    <w:rsid w:val="275E3649"/>
    <w:rsid w:val="27FF060D"/>
    <w:rsid w:val="29102F13"/>
    <w:rsid w:val="2D2A602F"/>
    <w:rsid w:val="2D5B1EEE"/>
    <w:rsid w:val="2DA064BD"/>
    <w:rsid w:val="2DB04CF8"/>
    <w:rsid w:val="2E491136"/>
    <w:rsid w:val="2ED73427"/>
    <w:rsid w:val="2FBFAEA2"/>
    <w:rsid w:val="30D660B3"/>
    <w:rsid w:val="33C84169"/>
    <w:rsid w:val="33CE73C6"/>
    <w:rsid w:val="342465E2"/>
    <w:rsid w:val="342A0D0B"/>
    <w:rsid w:val="346B41B6"/>
    <w:rsid w:val="34E04A84"/>
    <w:rsid w:val="35465824"/>
    <w:rsid w:val="354F42BD"/>
    <w:rsid w:val="380942B0"/>
    <w:rsid w:val="382D54B8"/>
    <w:rsid w:val="3967591C"/>
    <w:rsid w:val="39BD8ADE"/>
    <w:rsid w:val="39DFA322"/>
    <w:rsid w:val="3C5F033A"/>
    <w:rsid w:val="3C9C496E"/>
    <w:rsid w:val="3DBF76C2"/>
    <w:rsid w:val="3DDD67CF"/>
    <w:rsid w:val="3FFFA67C"/>
    <w:rsid w:val="409D6C96"/>
    <w:rsid w:val="428E5B3D"/>
    <w:rsid w:val="452B2CE7"/>
    <w:rsid w:val="455443D1"/>
    <w:rsid w:val="46BF15AC"/>
    <w:rsid w:val="47A7013F"/>
    <w:rsid w:val="47CF1704"/>
    <w:rsid w:val="4AB44E98"/>
    <w:rsid w:val="4B4B7627"/>
    <w:rsid w:val="4BFF1214"/>
    <w:rsid w:val="4C0963DD"/>
    <w:rsid w:val="4C990DFC"/>
    <w:rsid w:val="4D6B0A00"/>
    <w:rsid w:val="4D6E7AD0"/>
    <w:rsid w:val="4EEA44E8"/>
    <w:rsid w:val="506E35DC"/>
    <w:rsid w:val="50BD79A6"/>
    <w:rsid w:val="510D1202"/>
    <w:rsid w:val="515D60CA"/>
    <w:rsid w:val="51D12D37"/>
    <w:rsid w:val="522A59ED"/>
    <w:rsid w:val="53651256"/>
    <w:rsid w:val="5490533F"/>
    <w:rsid w:val="56011E88"/>
    <w:rsid w:val="56352C58"/>
    <w:rsid w:val="595347E9"/>
    <w:rsid w:val="59D21F08"/>
    <w:rsid w:val="59D74A3B"/>
    <w:rsid w:val="5AB7C702"/>
    <w:rsid w:val="5B263105"/>
    <w:rsid w:val="5B982FC7"/>
    <w:rsid w:val="5BDF4D69"/>
    <w:rsid w:val="5BF938B5"/>
    <w:rsid w:val="5C377EEE"/>
    <w:rsid w:val="5C6B89BE"/>
    <w:rsid w:val="5D5B7524"/>
    <w:rsid w:val="5E60221A"/>
    <w:rsid w:val="5EBD0F4D"/>
    <w:rsid w:val="5F8D1C46"/>
    <w:rsid w:val="5FFF448A"/>
    <w:rsid w:val="60303D05"/>
    <w:rsid w:val="61AF09EF"/>
    <w:rsid w:val="635553E5"/>
    <w:rsid w:val="64DB4BB5"/>
    <w:rsid w:val="651231F2"/>
    <w:rsid w:val="65BE0B5B"/>
    <w:rsid w:val="677F638E"/>
    <w:rsid w:val="67C9565B"/>
    <w:rsid w:val="6808097F"/>
    <w:rsid w:val="69A929BC"/>
    <w:rsid w:val="6A9933D0"/>
    <w:rsid w:val="6B3F3AAD"/>
    <w:rsid w:val="6BD54347"/>
    <w:rsid w:val="6CB16FB4"/>
    <w:rsid w:val="6D1334E9"/>
    <w:rsid w:val="6D3203DA"/>
    <w:rsid w:val="6D3E16FA"/>
    <w:rsid w:val="6DDBEB52"/>
    <w:rsid w:val="6E8C71B7"/>
    <w:rsid w:val="6F501068"/>
    <w:rsid w:val="6FFE02E8"/>
    <w:rsid w:val="714C1926"/>
    <w:rsid w:val="71D07EE4"/>
    <w:rsid w:val="71F205CC"/>
    <w:rsid w:val="722C6C14"/>
    <w:rsid w:val="72D92721"/>
    <w:rsid w:val="73AE56BA"/>
    <w:rsid w:val="75C9966F"/>
    <w:rsid w:val="75D12F9F"/>
    <w:rsid w:val="75F3D603"/>
    <w:rsid w:val="76630EC6"/>
    <w:rsid w:val="768B48F5"/>
    <w:rsid w:val="76DD66F2"/>
    <w:rsid w:val="77CF1648"/>
    <w:rsid w:val="77DFBBF7"/>
    <w:rsid w:val="78F21850"/>
    <w:rsid w:val="794EBA0A"/>
    <w:rsid w:val="79B34E52"/>
    <w:rsid w:val="7A225772"/>
    <w:rsid w:val="7A615F32"/>
    <w:rsid w:val="7A6D4B92"/>
    <w:rsid w:val="7AF630E2"/>
    <w:rsid w:val="7B59F085"/>
    <w:rsid w:val="7BF7F2F8"/>
    <w:rsid w:val="7C697AB1"/>
    <w:rsid w:val="7CB460B3"/>
    <w:rsid w:val="7D1678D3"/>
    <w:rsid w:val="7D3D076C"/>
    <w:rsid w:val="7D4715A3"/>
    <w:rsid w:val="7D4F1105"/>
    <w:rsid w:val="7D778F02"/>
    <w:rsid w:val="7E757D8F"/>
    <w:rsid w:val="7E7D8CE8"/>
    <w:rsid w:val="7F4DBC8B"/>
    <w:rsid w:val="7F7F43D0"/>
    <w:rsid w:val="7FA7000A"/>
    <w:rsid w:val="7FC14E2C"/>
    <w:rsid w:val="7FDF50F1"/>
    <w:rsid w:val="7FDFEC51"/>
    <w:rsid w:val="7FEF222C"/>
    <w:rsid w:val="7FF0E486"/>
    <w:rsid w:val="7FFDAC4B"/>
    <w:rsid w:val="7FFF48E8"/>
    <w:rsid w:val="89A36FF9"/>
    <w:rsid w:val="8FE77A6C"/>
    <w:rsid w:val="927F97C9"/>
    <w:rsid w:val="99DF0894"/>
    <w:rsid w:val="ABB4F508"/>
    <w:rsid w:val="AD7F6EE6"/>
    <w:rsid w:val="AF16DA85"/>
    <w:rsid w:val="AF355539"/>
    <w:rsid w:val="B17F7E1A"/>
    <w:rsid w:val="B3EFE69C"/>
    <w:rsid w:val="B5FA16B7"/>
    <w:rsid w:val="B7DFFB25"/>
    <w:rsid w:val="BA6FC76C"/>
    <w:rsid w:val="BBEF0720"/>
    <w:rsid w:val="C9FFB351"/>
    <w:rsid w:val="CDBEB0FA"/>
    <w:rsid w:val="CFCDE405"/>
    <w:rsid w:val="CFDA25AD"/>
    <w:rsid w:val="D75FE92E"/>
    <w:rsid w:val="D7BFAC60"/>
    <w:rsid w:val="DAF5AACC"/>
    <w:rsid w:val="DAF9C5A4"/>
    <w:rsid w:val="DE75220E"/>
    <w:rsid w:val="E53FB166"/>
    <w:rsid w:val="E7FF5215"/>
    <w:rsid w:val="EBF758B0"/>
    <w:rsid w:val="EDF7B848"/>
    <w:rsid w:val="EE3BDBFE"/>
    <w:rsid w:val="EEBF6588"/>
    <w:rsid w:val="EFC69FE1"/>
    <w:rsid w:val="F69933BA"/>
    <w:rsid w:val="F6F437BF"/>
    <w:rsid w:val="F6FFD720"/>
    <w:rsid w:val="F7FABDA6"/>
    <w:rsid w:val="F7FE121C"/>
    <w:rsid w:val="F97DBCC9"/>
    <w:rsid w:val="FA275A31"/>
    <w:rsid w:val="FAE78EEF"/>
    <w:rsid w:val="FBDA6CB8"/>
    <w:rsid w:val="FBF527AF"/>
    <w:rsid w:val="FBF7C00A"/>
    <w:rsid w:val="FBFFC296"/>
    <w:rsid w:val="FD55A93F"/>
    <w:rsid w:val="FD5D353C"/>
    <w:rsid w:val="FE7F8340"/>
    <w:rsid w:val="FEB72BAE"/>
    <w:rsid w:val="FEDF66B5"/>
    <w:rsid w:val="FF359685"/>
    <w:rsid w:val="FF7F81FC"/>
    <w:rsid w:val="FFF23D92"/>
    <w:rsid w:val="FFFD66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25"/>
    <w:qFormat/>
    <w:uiPriority w:val="0"/>
    <w:pPr>
      <w:keepNext/>
      <w:keepLines/>
      <w:outlineLvl w:val="0"/>
    </w:pPr>
    <w:rPr>
      <w:rFonts w:eastAsia="黑体"/>
      <w:bCs/>
      <w:kern w:val="44"/>
      <w:szCs w:val="44"/>
    </w:rPr>
  </w:style>
  <w:style w:type="paragraph" w:styleId="3">
    <w:name w:val="heading 2"/>
    <w:basedOn w:val="1"/>
    <w:next w:val="1"/>
    <w:link w:val="24"/>
    <w:unhideWhenUsed/>
    <w:qFormat/>
    <w:uiPriority w:val="0"/>
    <w:pPr>
      <w:keepNext/>
      <w:keepLines/>
      <w:outlineLvl w:val="1"/>
    </w:pPr>
    <w:rPr>
      <w:rFonts w:eastAsia="楷体_GB2312" w:asciiTheme="majorHAnsi" w:hAnsiTheme="majorHAnsi" w:cstheme="majorBidi"/>
      <w:b/>
      <w:bCs/>
      <w:szCs w:val="32"/>
    </w:rPr>
  </w:style>
  <w:style w:type="paragraph" w:styleId="4">
    <w:name w:val="heading 3"/>
    <w:basedOn w:val="1"/>
    <w:next w:val="1"/>
    <w:link w:val="26"/>
    <w:unhideWhenUsed/>
    <w:qFormat/>
    <w:uiPriority w:val="0"/>
    <w:pPr>
      <w:keepNext/>
      <w:keepLines/>
      <w:outlineLvl w:val="2"/>
    </w:pPr>
    <w:rPr>
      <w:rFonts w:ascii="仿宋_GB2312"/>
      <w:b/>
      <w:bCs/>
      <w:szCs w:val="32"/>
    </w:rPr>
  </w:style>
  <w:style w:type="paragraph" w:styleId="5">
    <w:name w:val="heading 4"/>
    <w:basedOn w:val="1"/>
    <w:next w:val="1"/>
    <w:link w:val="27"/>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2"/>
    <w:semiHidden/>
    <w:unhideWhenUsed/>
    <w:qFormat/>
    <w:uiPriority w:val="0"/>
    <w:pPr>
      <w:jc w:val="left"/>
    </w:pPr>
  </w:style>
  <w:style w:type="paragraph" w:styleId="7">
    <w:name w:val="Body Text"/>
    <w:basedOn w:val="1"/>
    <w:qFormat/>
    <w:uiPriority w:val="1"/>
    <w:rPr>
      <w:rFonts w:ascii="仿宋_GB2312" w:hAnsi="仿宋_GB2312" w:cs="仿宋_GB2312"/>
      <w:szCs w:val="32"/>
    </w:rPr>
  </w:style>
  <w:style w:type="paragraph" w:styleId="8">
    <w:name w:val="Balloon Text"/>
    <w:basedOn w:val="1"/>
    <w:link w:val="21"/>
    <w:qFormat/>
    <w:uiPriority w:val="0"/>
    <w:rPr>
      <w:sz w:val="18"/>
      <w:szCs w:val="18"/>
    </w:rPr>
  </w:style>
  <w:style w:type="paragraph" w:styleId="9">
    <w:name w:val="footer"/>
    <w:basedOn w:val="1"/>
    <w:link w:val="20"/>
    <w:qFormat/>
    <w:uiPriority w:val="99"/>
    <w:pPr>
      <w:tabs>
        <w:tab w:val="center" w:pos="4153"/>
        <w:tab w:val="right" w:pos="8306"/>
      </w:tabs>
      <w:snapToGrid w:val="0"/>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12">
    <w:name w:val="annotation subject"/>
    <w:basedOn w:val="6"/>
    <w:next w:val="6"/>
    <w:link w:val="23"/>
    <w:semiHidden/>
    <w:unhideWhenUsed/>
    <w:qFormat/>
    <w:uiPriority w:val="0"/>
    <w:rPr>
      <w:b/>
      <w:bCs/>
    </w:rPr>
  </w:style>
  <w:style w:type="table" w:styleId="14">
    <w:name w:val="Table Grid"/>
    <w:basedOn w:val="13"/>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character" w:styleId="17">
    <w:name w:val="Hyperlink"/>
    <w:basedOn w:val="15"/>
    <w:qFormat/>
    <w:uiPriority w:val="0"/>
    <w:rPr>
      <w:color w:val="0000FF"/>
      <w:u w:val="single"/>
    </w:rPr>
  </w:style>
  <w:style w:type="character" w:styleId="18">
    <w:name w:val="annotation reference"/>
    <w:basedOn w:val="15"/>
    <w:semiHidden/>
    <w:unhideWhenUsed/>
    <w:qFormat/>
    <w:uiPriority w:val="0"/>
    <w:rPr>
      <w:sz w:val="21"/>
      <w:szCs w:val="21"/>
    </w:rPr>
  </w:style>
  <w:style w:type="character" w:customStyle="1" w:styleId="19">
    <w:name w:val="页眉 字符"/>
    <w:basedOn w:val="15"/>
    <w:link w:val="10"/>
    <w:qFormat/>
    <w:uiPriority w:val="0"/>
    <w:rPr>
      <w:kern w:val="2"/>
      <w:sz w:val="18"/>
      <w:szCs w:val="18"/>
    </w:rPr>
  </w:style>
  <w:style w:type="character" w:customStyle="1" w:styleId="20">
    <w:name w:val="页脚 字符"/>
    <w:basedOn w:val="15"/>
    <w:link w:val="9"/>
    <w:qFormat/>
    <w:uiPriority w:val="99"/>
    <w:rPr>
      <w:kern w:val="2"/>
      <w:sz w:val="18"/>
      <w:szCs w:val="18"/>
    </w:rPr>
  </w:style>
  <w:style w:type="character" w:customStyle="1" w:styleId="21">
    <w:name w:val="批注框文本 字符"/>
    <w:basedOn w:val="15"/>
    <w:link w:val="8"/>
    <w:qFormat/>
    <w:uiPriority w:val="0"/>
    <w:rPr>
      <w:kern w:val="2"/>
      <w:sz w:val="18"/>
      <w:szCs w:val="18"/>
    </w:rPr>
  </w:style>
  <w:style w:type="character" w:customStyle="1" w:styleId="22">
    <w:name w:val="批注文字 字符"/>
    <w:basedOn w:val="15"/>
    <w:link w:val="6"/>
    <w:semiHidden/>
    <w:qFormat/>
    <w:uiPriority w:val="0"/>
    <w:rPr>
      <w:kern w:val="2"/>
      <w:sz w:val="21"/>
      <w:szCs w:val="24"/>
    </w:rPr>
  </w:style>
  <w:style w:type="character" w:customStyle="1" w:styleId="23">
    <w:name w:val="批注主题 字符"/>
    <w:basedOn w:val="22"/>
    <w:link w:val="12"/>
    <w:semiHidden/>
    <w:qFormat/>
    <w:uiPriority w:val="0"/>
    <w:rPr>
      <w:b/>
      <w:bCs/>
      <w:kern w:val="2"/>
      <w:sz w:val="21"/>
      <w:szCs w:val="24"/>
    </w:rPr>
  </w:style>
  <w:style w:type="character" w:customStyle="1" w:styleId="24">
    <w:name w:val="标题 2 字符"/>
    <w:basedOn w:val="15"/>
    <w:link w:val="3"/>
    <w:qFormat/>
    <w:uiPriority w:val="0"/>
    <w:rPr>
      <w:rFonts w:eastAsia="楷体_GB2312" w:asciiTheme="majorHAnsi" w:hAnsiTheme="majorHAnsi" w:cstheme="majorBidi"/>
      <w:b/>
      <w:bCs/>
      <w:kern w:val="2"/>
      <w:sz w:val="32"/>
      <w:szCs w:val="32"/>
    </w:rPr>
  </w:style>
  <w:style w:type="character" w:customStyle="1" w:styleId="25">
    <w:name w:val="标题 1 字符"/>
    <w:basedOn w:val="15"/>
    <w:link w:val="2"/>
    <w:qFormat/>
    <w:uiPriority w:val="0"/>
    <w:rPr>
      <w:rFonts w:eastAsia="黑体"/>
      <w:bCs/>
      <w:kern w:val="44"/>
      <w:sz w:val="32"/>
      <w:szCs w:val="44"/>
    </w:rPr>
  </w:style>
  <w:style w:type="character" w:customStyle="1" w:styleId="26">
    <w:name w:val="标题 3 字符"/>
    <w:basedOn w:val="15"/>
    <w:link w:val="4"/>
    <w:qFormat/>
    <w:uiPriority w:val="0"/>
    <w:rPr>
      <w:rFonts w:ascii="仿宋_GB2312" w:eastAsia="仿宋_GB2312"/>
      <w:b/>
      <w:bCs/>
      <w:kern w:val="2"/>
      <w:sz w:val="32"/>
      <w:szCs w:val="32"/>
    </w:rPr>
  </w:style>
  <w:style w:type="character" w:customStyle="1" w:styleId="27">
    <w:name w:val="标题 4 字符"/>
    <w:basedOn w:val="15"/>
    <w:link w:val="5"/>
    <w:qFormat/>
    <w:uiPriority w:val="0"/>
    <w:rPr>
      <w:rFonts w:asciiTheme="majorHAnsi" w:hAnsiTheme="majorHAnsi" w:eastAsiaTheme="majorEastAsia" w:cstheme="majorBidi"/>
      <w:b/>
      <w:bCs/>
      <w:kern w:val="2"/>
      <w:sz w:val="28"/>
      <w:szCs w:val="28"/>
    </w:rPr>
  </w:style>
  <w:style w:type="paragraph" w:styleId="28">
    <w:name w:val="List Paragraph"/>
    <w:basedOn w:val="1"/>
    <w:qFormat/>
    <w:uiPriority w:val="99"/>
    <w:pPr>
      <w:ind w:firstLine="420"/>
    </w:pPr>
  </w:style>
  <w:style w:type="table" w:customStyle="1" w:styleId="29">
    <w:name w:val="网格型1"/>
    <w:basedOn w:val="13"/>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Table"/>
    <w:basedOn w:val="1"/>
    <w:link w:val="31"/>
    <w:qFormat/>
    <w:uiPriority w:val="0"/>
    <w:pPr>
      <w:spacing w:line="400" w:lineRule="exact"/>
      <w:ind w:firstLine="0" w:firstLineChars="0"/>
      <w:jc w:val="center"/>
      <w:outlineLvl w:val="0"/>
    </w:pPr>
    <w:rPr>
      <w:rFonts w:ascii="等线 Light" w:hAnsi="等线 Light"/>
      <w:bCs/>
      <w:sz w:val="24"/>
      <w:szCs w:val="32"/>
    </w:rPr>
  </w:style>
  <w:style w:type="character" w:customStyle="1" w:styleId="31">
    <w:name w:val="Table 字符"/>
    <w:basedOn w:val="15"/>
    <w:link w:val="30"/>
    <w:qFormat/>
    <w:uiPriority w:val="0"/>
    <w:rPr>
      <w:rFonts w:ascii="等线 Light" w:hAnsi="等线 Light" w:eastAsia="仿宋_GB2312"/>
      <w:bCs/>
      <w:kern w:val="2"/>
      <w:sz w:val="24"/>
      <w:szCs w:val="32"/>
    </w:rPr>
  </w:style>
  <w:style w:type="paragraph" w:customStyle="1" w:styleId="32">
    <w:name w:val="Revision"/>
    <w:hidden/>
    <w:semiHidden/>
    <w:qFormat/>
    <w:uiPriority w:val="99"/>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7</Pages>
  <Words>2627</Words>
  <Characters>2786</Characters>
  <Lines>19</Lines>
  <Paragraphs>5</Paragraphs>
  <TotalTime>3</TotalTime>
  <ScaleCrop>false</ScaleCrop>
  <LinksUpToDate>false</LinksUpToDate>
  <CharactersWithSpaces>2787</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2019-08-18T14:54:00Z</dcterms:created>
  <dc:creator>zkk</dc:creator>
  <cp:lastModifiedBy>bda</cp:lastModifiedBy>
  <cp:lastPrinted>2023-03-30T21:40:00Z</cp:lastPrinted>
  <dcterms:modified xsi:type="dcterms:W3CDTF">2024-02-07T16:08:03Z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65B537E37BE14E0484E9F9BAC3DF0399</vt:lpwstr>
  </property>
</Properties>
</file>