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outlineLvl w:val="0"/>
        <w:rPr>
          <w:rFonts w:ascii="黑体" w:hAnsi="黑体" w:eastAsia="黑体" w:cs="Times New Roman"/>
          <w:sz w:val="32"/>
          <w:szCs w:val="36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6"/>
        </w:rPr>
        <w:t>附件11</w:t>
      </w:r>
    </w:p>
    <w:p>
      <w:pPr>
        <w:pStyle w:val="2"/>
        <w:ind w:firstLine="560"/>
        <w:rPr>
          <w:rFonts w:hint="eastAsia"/>
        </w:rPr>
      </w:pPr>
    </w:p>
    <w:p>
      <w:pPr>
        <w:spacing w:line="540" w:lineRule="exact"/>
        <w:jc w:val="center"/>
        <w:rPr>
          <w:rFonts w:ascii="方正小标宋简体" w:hAnsi="黑体" w:eastAsia="方正小标宋简体" w:cs="黑体"/>
          <w:sz w:val="40"/>
          <w:szCs w:val="40"/>
        </w:rPr>
      </w:pPr>
      <w:r>
        <w:rPr>
          <w:rFonts w:hint="eastAsia" w:ascii="方正小标宋简体" w:hAnsi="黑体" w:eastAsia="方正小标宋简体" w:cs="黑体"/>
          <w:sz w:val="40"/>
          <w:szCs w:val="40"/>
        </w:rPr>
        <w:t>“规升强”清单遴选说明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遴选标准</w:t>
      </w:r>
    </w:p>
    <w:p>
      <w:pPr>
        <w:pStyle w:val="2"/>
        <w:spacing w:line="540" w:lineRule="exact"/>
        <w:ind w:firstLine="64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纳入“规升强”企业清单的规模以上重点高新技术企业应符合如下要求：</w:t>
      </w:r>
    </w:p>
    <w:p>
      <w:pPr>
        <w:pStyle w:val="2"/>
        <w:spacing w:line="540" w:lineRule="exact"/>
        <w:ind w:firstLine="64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注册在昌平区，成立时间为2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019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年1月1日后的非上市企业；</w:t>
      </w:r>
    </w:p>
    <w:p>
      <w:pPr>
        <w:pStyle w:val="2"/>
        <w:spacing w:line="540" w:lineRule="exact"/>
        <w:ind w:firstLine="64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属于昌平区重点发展的先进能源、医药健康、先进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造、新一代信息技术、科技服务等领域；</w:t>
      </w:r>
    </w:p>
    <w:p>
      <w:pPr>
        <w:pStyle w:val="2"/>
        <w:spacing w:line="540" w:lineRule="exact"/>
        <w:ind w:firstLine="64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上年末企业研发人员人数占职工总数的比例：制造类不低于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10%，软件或科技服务类不低于30%； </w:t>
      </w:r>
    </w:p>
    <w:p>
      <w:pPr>
        <w:pStyle w:val="2"/>
        <w:spacing w:line="540" w:lineRule="exact"/>
        <w:ind w:firstLine="64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企业2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019-2021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年度的研究开发费用总额占主营业务收入总额的比例不低于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6%；</w:t>
      </w:r>
    </w:p>
    <w:p>
      <w:pPr>
        <w:pStyle w:val="2"/>
        <w:spacing w:line="540" w:lineRule="exact"/>
        <w:ind w:firstLine="64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企业2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021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年主营业务收入在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3000万元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以上；</w:t>
      </w:r>
    </w:p>
    <w:p>
      <w:pPr>
        <w:pStyle w:val="2"/>
        <w:spacing w:line="540" w:lineRule="exact"/>
        <w:ind w:firstLine="64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企业2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019-2021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年主营业务收入或净利润的复合增长率在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20%</w:t>
      </w:r>
      <w:r>
        <w:rPr>
          <w:rFonts w:ascii="仿宋_GB2312" w:hAnsi="仿宋_GB2312" w:eastAsia="仿宋_GB2312" w:cs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以上，或</w:t>
      </w:r>
      <w:r>
        <w:rPr>
          <w:rFonts w:hint="eastAsia" w:ascii="仿宋_GB2312" w:hAnsi="仿宋_GB2312" w:eastAsia="仿宋_GB2312" w:cs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ascii="仿宋_GB2312" w:hAnsi="仿宋_GB2312" w:eastAsia="仿宋_GB2312" w:cs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019</w:t>
      </w:r>
      <w:r>
        <w:rPr>
          <w:rFonts w:hint="eastAsia" w:ascii="仿宋_GB2312" w:hAnsi="仿宋_GB2312" w:eastAsia="仿宋_GB2312" w:cs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年至今</w:t>
      </w:r>
      <w:r>
        <w:rPr>
          <w:rFonts w:ascii="仿宋_GB2312" w:hAnsi="仿宋_GB2312" w:eastAsia="仿宋_GB2312" w:cs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累计获得股权融资超过5000万元</w:t>
      </w:r>
      <w:r>
        <w:rPr>
          <w:rFonts w:hint="eastAsia" w:ascii="仿宋_GB2312" w:hAnsi="仿宋_GB2312" w:eastAsia="仿宋_GB2312" w:cs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(</w:t>
      </w:r>
      <w:r>
        <w:rPr>
          <w:rFonts w:ascii="仿宋_GB2312" w:hAnsi="仿宋_GB2312" w:eastAsia="仿宋_GB2312" w:cs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或等值外币</w:t>
      </w:r>
      <w:r>
        <w:rPr>
          <w:rFonts w:hint="eastAsia" w:ascii="仿宋_GB2312" w:hAnsi="仿宋_GB2312" w:eastAsia="仿宋_GB2312" w:cs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)</w:t>
      </w:r>
      <w:r>
        <w:rPr>
          <w:rFonts w:ascii="仿宋_GB2312" w:hAnsi="仿宋_GB2312" w:eastAsia="仿宋_GB2312" w:cs="仿宋_GB2312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pStyle w:val="2"/>
        <w:spacing w:line="540" w:lineRule="exact"/>
        <w:ind w:firstLine="64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企业有良好的经营管理团队，健全的财务制度，较强的市场应变能力，灵活的激励机制。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遴选程序</w:t>
      </w:r>
    </w:p>
    <w:p>
      <w:pPr>
        <w:pStyle w:val="8"/>
        <w:spacing w:line="540" w:lineRule="exact"/>
        <w:ind w:firstLine="640" w:firstLineChars="200"/>
        <w:rPr>
          <w:rFonts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1.企业申报。按照敞口申报、线上办理、季度评审、达标即享的原则，通过企业自荐+政府复核方式加快“规升强”企业入库管理。</w:t>
      </w:r>
    </w:p>
    <w:p>
      <w:pPr>
        <w:pStyle w:val="8"/>
        <w:spacing w:line="540" w:lineRule="exact"/>
        <w:ind w:firstLine="640" w:firstLineChars="200"/>
        <w:rPr>
          <w:rFonts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2.审核。区科委根据“规升强”企业认定标准，对申报企业进行审核，提出入选名单</w:t>
      </w:r>
      <w:r>
        <w:rPr>
          <w:rFonts w:hint="eastAsia" w:ascii="仿宋_GB2312" w:hAnsi="仿宋_GB2312" w:cs="仿宋_GB2312"/>
          <w:color w:val="000000" w:themeColor="text1"/>
          <w:kern w:val="0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于每季度末</w:t>
      </w:r>
      <w:r>
        <w:rPr>
          <w:rFonts w:hint="eastAsia" w:ascii="仿宋_GB2312" w:hAnsi="仿宋_GB2312" w:cs="仿宋_GB2312"/>
          <w:color w:val="000000" w:themeColor="text1"/>
          <w:kern w:val="0"/>
          <w:szCs w:val="32"/>
          <w:lang w:val="en-US" w:eastAsia="zh-CN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公示。</w:t>
      </w:r>
    </w:p>
    <w:p>
      <w:pPr>
        <w:pStyle w:val="8"/>
        <w:spacing w:line="540" w:lineRule="exact"/>
        <w:ind w:firstLine="640" w:firstLineChars="200"/>
        <w:rPr>
          <w:rFonts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.入库。公示无异议的，由区科委纳入清单管理。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清单管理</w:t>
      </w:r>
    </w:p>
    <w:p>
      <w:pPr>
        <w:pStyle w:val="8"/>
        <w:spacing w:line="540" w:lineRule="exact"/>
        <w:ind w:firstLine="640" w:firstLineChars="200"/>
        <w:rPr>
          <w:rFonts w:hint="eastAsia"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区科委对清单企业实行动态管理，定期复核，对不符合条件的企业，予以出库。</w:t>
      </w:r>
    </w:p>
    <w:p>
      <w:pPr>
        <w:pStyle w:val="8"/>
        <w:spacing w:line="540" w:lineRule="exact"/>
        <w:ind w:firstLine="640" w:firstLineChars="200"/>
        <w:rPr>
          <w:rFonts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区科委优先推荐清单企业享受市、区其他资金支持政策。</w:t>
      </w:r>
    </w:p>
    <w:p>
      <w:pPr>
        <w:pStyle w:val="8"/>
        <w:spacing w:line="540" w:lineRule="exact"/>
        <w:ind w:firstLine="640" w:firstLineChars="200"/>
        <w:rPr>
          <w:rFonts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cs="仿宋_GB2312"/>
          <w:color w:val="000000" w:themeColor="text1"/>
          <w:kern w:val="0"/>
          <w:szCs w:val="32"/>
          <w14:textFill>
            <w14:solidFill>
              <w14:schemeClr w14:val="tx1"/>
            </w14:solidFill>
          </w14:textFill>
        </w:rPr>
        <w:t>是否入选“规升强”清单作为企业申报《昌平区加快高新技术企业培育发展支持办法》中第十五条“高成长”类、第十六条“高产出”类企业奖励资金的前提条件。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4957FD"/>
    <w:multiLevelType w:val="singleLevel"/>
    <w:tmpl w:val="614957F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3ZGY5NTAzZDBhMTRjZDhlMGM0MTUzOWNmMmNiZjAifQ=="/>
  </w:docVars>
  <w:rsids>
    <w:rsidRoot w:val="77C23DAC"/>
    <w:rsid w:val="000246B6"/>
    <w:rsid w:val="00094069"/>
    <w:rsid w:val="00795CAF"/>
    <w:rsid w:val="009725F5"/>
    <w:rsid w:val="00B463F4"/>
    <w:rsid w:val="0A632FD3"/>
    <w:rsid w:val="1FE17307"/>
    <w:rsid w:val="4EE624DE"/>
    <w:rsid w:val="4F1F277C"/>
    <w:rsid w:val="6F952DF4"/>
    <w:rsid w:val="77C23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8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99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ind w:left="420" w:leftChars="200"/>
    </w:pPr>
  </w:style>
  <w:style w:type="paragraph" w:styleId="4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行政正文"/>
    <w:basedOn w:val="1"/>
    <w:qFormat/>
    <w:uiPriority w:val="0"/>
    <w:pPr>
      <w:spacing w:line="560" w:lineRule="exact"/>
    </w:pPr>
    <w:rPr>
      <w:rFonts w:eastAsia="仿宋_GB2312"/>
      <w:sz w:val="32"/>
    </w:rPr>
  </w:style>
  <w:style w:type="character" w:customStyle="1" w:styleId="9">
    <w:name w:val="页眉 字符"/>
    <w:basedOn w:val="7"/>
    <w:link w:val="5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rFonts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574</Words>
  <Characters>626</Characters>
  <Lines>4</Lines>
  <Paragraphs>1</Paragraphs>
  <TotalTime>31</TotalTime>
  <ScaleCrop>false</ScaleCrop>
  <LinksUpToDate>false</LinksUpToDate>
  <CharactersWithSpaces>627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2022-11-23T02:20:00Z</dcterms:created>
  <dc:creator>WPS_1659574033</dc:creator>
  <cp:lastModifiedBy>WPS_1659574033</cp:lastModifiedBy>
  <dcterms:modified xsi:type="dcterms:W3CDTF">2022-12-06T04:46:06Z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70D1B5F44A5C46AAA122F1CAF58C60BD</vt:lpwstr>
  </property>
</Properties>
</file>