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黑体" w:eastAsia="方正小标宋简体"/>
          <w:sz w:val="44"/>
          <w:szCs w:val="44"/>
        </w:rPr>
      </w:pPr>
      <w:bookmarkStart w:id="0" w:name="_GoBack"/>
      <w:bookmarkEnd w:id="0"/>
      <w:r>
        <w:rPr>
          <w:rFonts w:hint="eastAsia" w:ascii="方正小标宋简体" w:hAnsi="黑体" w:eastAsia="方正小标宋简体"/>
          <w:sz w:val="44"/>
          <w:szCs w:val="44"/>
        </w:rPr>
        <w:t>北京市科学技术协会2023年</w:t>
      </w:r>
      <w:r>
        <w:rPr>
          <w:rFonts w:hint="eastAsia" w:ascii="方正小标宋简体" w:hAnsi="黑体" w:eastAsia="方正小标宋简体"/>
          <w:sz w:val="44"/>
          <w:szCs w:val="44"/>
          <w:lang w:eastAsia="zh-CN"/>
        </w:rPr>
        <w:t>学会</w:t>
      </w:r>
      <w:r>
        <w:rPr>
          <w:rFonts w:hint="eastAsia" w:ascii="方正小标宋简体" w:hAnsi="黑体" w:eastAsia="方正小标宋简体"/>
          <w:sz w:val="44"/>
          <w:szCs w:val="44"/>
        </w:rPr>
        <w:t>学术</w:t>
      </w:r>
    </w:p>
    <w:p>
      <w:pPr>
        <w:spacing w:line="560" w:lineRule="exact"/>
        <w:jc w:val="center"/>
        <w:rPr>
          <w:rFonts w:hint="eastAsia" w:ascii="方正小标宋简体" w:hAnsi="黑体" w:eastAsia="方正小标宋简体"/>
          <w:sz w:val="44"/>
          <w:szCs w:val="44"/>
          <w:lang w:eastAsia="zh-CN"/>
        </w:rPr>
      </w:pPr>
      <w:r>
        <w:rPr>
          <w:rFonts w:hint="eastAsia" w:ascii="方正小标宋简体" w:hAnsi="黑体" w:eastAsia="方正小标宋简体"/>
          <w:sz w:val="44"/>
          <w:szCs w:val="44"/>
        </w:rPr>
        <w:t>活动专项经费资助项目</w:t>
      </w:r>
      <w:r>
        <w:rPr>
          <w:rFonts w:hint="eastAsia" w:ascii="方正小标宋简体" w:hAnsi="黑体" w:eastAsia="方正小标宋简体"/>
          <w:sz w:val="44"/>
          <w:szCs w:val="44"/>
          <w:lang w:eastAsia="zh-CN"/>
        </w:rPr>
        <w:t>申报指南</w:t>
      </w:r>
    </w:p>
    <w:p>
      <w:pPr>
        <w:spacing w:line="560" w:lineRule="exact"/>
        <w:ind w:firstLine="627" w:firstLineChars="196"/>
        <w:rPr>
          <w:rFonts w:ascii="仿宋" w:hAnsi="仿宋" w:eastAsia="仿宋"/>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北京市科协</w:t>
      </w:r>
      <w:r>
        <w:rPr>
          <w:rFonts w:hint="eastAsia" w:ascii="仿宋_GB2312" w:hAnsi="仿宋_GB2312" w:eastAsia="仿宋_GB2312" w:cs="仿宋_GB2312"/>
          <w:sz w:val="32"/>
          <w:szCs w:val="32"/>
        </w:rPr>
        <w:t>2023年学会学术活动专项经费资助项目共设3个大项，</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个子项（详见下表）。</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2023年</w:t>
      </w:r>
      <w:r>
        <w:rPr>
          <w:rFonts w:hint="eastAsia" w:ascii="仿宋_GB2312" w:hAnsi="仿宋_GB2312" w:eastAsia="仿宋_GB2312" w:cs="仿宋_GB2312"/>
          <w:sz w:val="32"/>
          <w:szCs w:val="32"/>
          <w:lang w:eastAsia="zh-CN"/>
        </w:rPr>
        <w:t>学会</w:t>
      </w:r>
      <w:r>
        <w:rPr>
          <w:rFonts w:hint="eastAsia" w:ascii="仿宋_GB2312" w:hAnsi="仿宋_GB2312" w:eastAsia="仿宋_GB2312" w:cs="仿宋_GB2312"/>
          <w:sz w:val="32"/>
          <w:szCs w:val="32"/>
        </w:rPr>
        <w:t>学术活动项目设置一览表</w:t>
      </w:r>
    </w:p>
    <w:tbl>
      <w:tblPr>
        <w:tblStyle w:val="7"/>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48"/>
        <w:gridCol w:w="1387"/>
        <w:gridCol w:w="2282"/>
        <w:gridCol w:w="400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44" w:hRule="atLeast"/>
          <w:jc w:val="center"/>
        </w:trPr>
        <w:tc>
          <w:tcPr>
            <w:tcW w:w="848" w:type="dxa"/>
            <w:vAlign w:val="center"/>
          </w:tcPr>
          <w:p>
            <w:pPr>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1387" w:type="dxa"/>
            <w:vAlign w:val="center"/>
          </w:tcPr>
          <w:p>
            <w:pPr>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归口单位或部门</w:t>
            </w:r>
          </w:p>
        </w:tc>
        <w:tc>
          <w:tcPr>
            <w:tcW w:w="2282" w:type="dxa"/>
            <w:vAlign w:val="center"/>
          </w:tcPr>
          <w:p>
            <w:pPr>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专项类别</w:t>
            </w:r>
          </w:p>
        </w:tc>
        <w:tc>
          <w:tcPr>
            <w:tcW w:w="4005" w:type="dxa"/>
            <w:vAlign w:val="center"/>
          </w:tcPr>
          <w:p>
            <w:pPr>
              <w:spacing w:line="56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项目名称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w:t>
            </w:r>
          </w:p>
        </w:tc>
        <w:tc>
          <w:tcPr>
            <w:tcW w:w="13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Merge w:val="restart"/>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学术</w:t>
            </w: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参与重要平台型活动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w:t>
            </w:r>
          </w:p>
        </w:tc>
        <w:tc>
          <w:tcPr>
            <w:tcW w:w="13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Merge w:val="continue"/>
            <w:vAlign w:val="center"/>
          </w:tcPr>
          <w:p>
            <w:pPr>
              <w:spacing w:line="560" w:lineRule="exact"/>
              <w:jc w:val="center"/>
              <w:rPr>
                <w:rFonts w:hint="eastAsia" w:ascii="仿宋_GB2312" w:hAnsi="仿宋_GB2312" w:eastAsia="仿宋_GB2312" w:cs="仿宋_GB2312"/>
                <w:sz w:val="28"/>
                <w:szCs w:val="28"/>
              </w:rPr>
            </w:pP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首都前沿学术成果报告会</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w:t>
            </w:r>
          </w:p>
        </w:tc>
        <w:tc>
          <w:tcPr>
            <w:tcW w:w="13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Merge w:val="continue"/>
            <w:vAlign w:val="center"/>
          </w:tcPr>
          <w:p>
            <w:pPr>
              <w:spacing w:line="560" w:lineRule="exact"/>
              <w:jc w:val="center"/>
              <w:rPr>
                <w:rFonts w:hint="eastAsia" w:ascii="仿宋_GB2312" w:hAnsi="仿宋_GB2312" w:eastAsia="仿宋_GB2312" w:cs="仿宋_GB2312"/>
                <w:sz w:val="28"/>
                <w:szCs w:val="28"/>
              </w:rPr>
            </w:pP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交叉学术活动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Merge w:val="restart"/>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w:t>
            </w:r>
          </w:p>
        </w:tc>
        <w:tc>
          <w:tcPr>
            <w:tcW w:w="1387" w:type="dxa"/>
            <w:vMerge w:val="restart"/>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Merge w:val="continue"/>
            <w:vAlign w:val="center"/>
          </w:tcPr>
          <w:p>
            <w:pPr>
              <w:spacing w:line="560" w:lineRule="exact"/>
              <w:jc w:val="center"/>
              <w:rPr>
                <w:rFonts w:hint="eastAsia" w:ascii="仿宋_GB2312" w:hAnsi="仿宋_GB2312" w:eastAsia="仿宋_GB2312" w:cs="仿宋_GB2312"/>
                <w:sz w:val="28"/>
                <w:szCs w:val="28"/>
              </w:rPr>
            </w:pP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品牌学术活动(A类)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Merge w:val="continue"/>
            <w:vAlign w:val="center"/>
          </w:tcPr>
          <w:p>
            <w:pPr>
              <w:spacing w:line="560" w:lineRule="exact"/>
              <w:jc w:val="center"/>
              <w:rPr>
                <w:rFonts w:hint="eastAsia" w:ascii="仿宋_GB2312" w:hAnsi="仿宋_GB2312" w:eastAsia="仿宋_GB2312" w:cs="仿宋_GB2312"/>
                <w:sz w:val="28"/>
                <w:szCs w:val="28"/>
              </w:rPr>
            </w:pPr>
          </w:p>
        </w:tc>
        <w:tc>
          <w:tcPr>
            <w:tcW w:w="1387" w:type="dxa"/>
            <w:vMerge w:val="continue"/>
            <w:vAlign w:val="center"/>
          </w:tcPr>
          <w:p>
            <w:pPr>
              <w:spacing w:line="560" w:lineRule="exact"/>
              <w:jc w:val="center"/>
              <w:rPr>
                <w:rFonts w:hint="eastAsia" w:ascii="仿宋_GB2312" w:hAnsi="仿宋_GB2312" w:eastAsia="仿宋_GB2312" w:cs="仿宋_GB2312"/>
                <w:sz w:val="28"/>
                <w:szCs w:val="28"/>
              </w:rPr>
            </w:pPr>
          </w:p>
        </w:tc>
        <w:tc>
          <w:tcPr>
            <w:tcW w:w="2282" w:type="dxa"/>
            <w:vMerge w:val="continue"/>
            <w:vAlign w:val="center"/>
          </w:tcPr>
          <w:p>
            <w:pPr>
              <w:spacing w:line="560" w:lineRule="exact"/>
              <w:jc w:val="center"/>
              <w:rPr>
                <w:rFonts w:hint="eastAsia" w:ascii="仿宋_GB2312" w:hAnsi="仿宋_GB2312" w:eastAsia="仿宋_GB2312" w:cs="仿宋_GB2312"/>
                <w:sz w:val="28"/>
                <w:szCs w:val="28"/>
              </w:rPr>
            </w:pP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品牌学术活动(B类)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Merge w:val="continue"/>
            <w:vAlign w:val="center"/>
          </w:tcPr>
          <w:p>
            <w:pPr>
              <w:spacing w:line="560" w:lineRule="exact"/>
              <w:jc w:val="center"/>
              <w:rPr>
                <w:rFonts w:hint="eastAsia" w:ascii="仿宋_GB2312" w:hAnsi="仿宋_GB2312" w:eastAsia="仿宋_GB2312" w:cs="仿宋_GB2312"/>
                <w:sz w:val="28"/>
                <w:szCs w:val="28"/>
              </w:rPr>
            </w:pPr>
          </w:p>
        </w:tc>
        <w:tc>
          <w:tcPr>
            <w:tcW w:w="1387" w:type="dxa"/>
            <w:vMerge w:val="continue"/>
            <w:vAlign w:val="center"/>
          </w:tcPr>
          <w:p>
            <w:pPr>
              <w:spacing w:line="560" w:lineRule="exact"/>
              <w:jc w:val="center"/>
              <w:rPr>
                <w:rFonts w:hint="eastAsia" w:ascii="仿宋_GB2312" w:hAnsi="仿宋_GB2312" w:eastAsia="仿宋_GB2312" w:cs="仿宋_GB2312"/>
                <w:sz w:val="28"/>
                <w:szCs w:val="28"/>
              </w:rPr>
            </w:pPr>
          </w:p>
        </w:tc>
        <w:tc>
          <w:tcPr>
            <w:tcW w:w="2282" w:type="dxa"/>
            <w:vMerge w:val="continue"/>
            <w:vAlign w:val="center"/>
          </w:tcPr>
          <w:p>
            <w:pPr>
              <w:spacing w:line="560" w:lineRule="exact"/>
              <w:jc w:val="center"/>
              <w:rPr>
                <w:rFonts w:hint="eastAsia" w:ascii="仿宋_GB2312" w:hAnsi="仿宋_GB2312" w:eastAsia="仿宋_GB2312" w:cs="仿宋_GB2312"/>
                <w:sz w:val="28"/>
                <w:szCs w:val="28"/>
              </w:rPr>
            </w:pPr>
          </w:p>
        </w:tc>
        <w:tc>
          <w:tcPr>
            <w:tcW w:w="400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品牌学术活动(C类)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w:t>
            </w:r>
          </w:p>
        </w:tc>
        <w:tc>
          <w:tcPr>
            <w:tcW w:w="13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Align w:val="center"/>
          </w:tcPr>
          <w:p>
            <w:pPr>
              <w:pStyle w:val="14"/>
              <w:spacing w:line="34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人才</w:t>
            </w:r>
          </w:p>
        </w:tc>
        <w:tc>
          <w:tcPr>
            <w:tcW w:w="4005"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青年人才托举工程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jc w:val="center"/>
        </w:trPr>
        <w:tc>
          <w:tcPr>
            <w:tcW w:w="848"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w:t>
            </w:r>
          </w:p>
        </w:tc>
        <w:tc>
          <w:tcPr>
            <w:tcW w:w="1387"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科创部</w:t>
            </w:r>
          </w:p>
        </w:tc>
        <w:tc>
          <w:tcPr>
            <w:tcW w:w="2282" w:type="dxa"/>
            <w:vAlign w:val="center"/>
          </w:tcPr>
          <w:p>
            <w:pPr>
              <w:pStyle w:val="14"/>
              <w:spacing w:line="34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科创</w:t>
            </w:r>
          </w:p>
        </w:tc>
        <w:tc>
          <w:tcPr>
            <w:tcW w:w="4005"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rPr>
              <w:t>科技评价</w:t>
            </w:r>
          </w:p>
        </w:tc>
      </w:tr>
    </w:tbl>
    <w:p>
      <w:pPr>
        <w:spacing w:line="560" w:lineRule="exact"/>
        <w:ind w:firstLine="64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一、专项名称：参与重要平台型活动</w:t>
      </w:r>
    </w:p>
    <w:p>
      <w:pPr>
        <w:spacing w:line="560" w:lineRule="exact"/>
        <w:ind w:firstLine="560"/>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sz w:val="32"/>
          <w:szCs w:val="32"/>
        </w:rPr>
        <w:t>组织动员</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积极参与中关村论坛、服贸会、金融街论坛、全球数字经济大会、世界机器人大会等国家级、市级重要平台活动，积极在论坛会议的举办、展览展示、成果发布等方面设计议题，引入学术资源，</w:t>
      </w:r>
      <w:r>
        <w:rPr>
          <w:rFonts w:hint="eastAsia" w:ascii="仿宋_GB2312" w:hAnsi="仿宋_GB2312" w:eastAsia="仿宋_GB2312" w:cs="仿宋_GB2312"/>
          <w:sz w:val="32"/>
          <w:szCs w:val="32"/>
          <w:lang w:eastAsia="zh-CN"/>
        </w:rPr>
        <w:t>举办学术活动，</w:t>
      </w:r>
      <w:r>
        <w:rPr>
          <w:rFonts w:hint="eastAsia" w:ascii="仿宋_GB2312" w:hAnsi="仿宋_GB2312" w:eastAsia="仿宋_GB2312" w:cs="仿宋_GB2312"/>
          <w:sz w:val="32"/>
          <w:szCs w:val="32"/>
        </w:rPr>
        <w:t>发挥学术活动的作用。</w:t>
      </w:r>
    </w:p>
    <w:p>
      <w:pPr>
        <w:spacing w:line="560" w:lineRule="exact"/>
        <w:ind w:firstLine="56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主办或承办的，拟纳入中关村论坛、服贸会、金融街论坛、全球数字经济大会等</w:t>
      </w:r>
      <w:r>
        <w:rPr>
          <w:rFonts w:hint="eastAsia" w:ascii="仿宋_GB2312" w:hAnsi="仿宋_GB2312" w:eastAsia="仿宋_GB2312" w:cs="仿宋_GB2312"/>
          <w:sz w:val="32"/>
          <w:szCs w:val="32"/>
          <w:lang w:eastAsia="zh-CN"/>
        </w:rPr>
        <w:t>重要</w:t>
      </w:r>
      <w:r>
        <w:rPr>
          <w:rFonts w:hint="eastAsia" w:ascii="仿宋_GB2312" w:hAnsi="仿宋_GB2312" w:eastAsia="仿宋_GB2312" w:cs="仿宋_GB2312"/>
          <w:sz w:val="32"/>
          <w:szCs w:val="32"/>
        </w:rPr>
        <w:t>平台的学术交流活动；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3.每个</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每个平台限申报一项；</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4.经费额度：不超过10万元/项；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5.项目周期：2023年12月底前完成。</w:t>
      </w:r>
    </w:p>
    <w:p>
      <w:pPr>
        <w:numPr>
          <w:ilvl w:val="0"/>
          <w:numId w:val="1"/>
        </w:numPr>
        <w:spacing w:line="560" w:lineRule="exact"/>
        <w:ind w:firstLine="645"/>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专项名称：首都前沿学术成果报告会</w:t>
      </w:r>
    </w:p>
    <w:p>
      <w:pPr>
        <w:spacing w:line="56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sz w:val="32"/>
          <w:szCs w:val="32"/>
        </w:rPr>
        <w:t>首都前沿学术成果报告会是</w:t>
      </w:r>
      <w:r>
        <w:rPr>
          <w:rFonts w:hint="eastAsia" w:ascii="仿宋_GB2312" w:hAnsi="仿宋_GB2312" w:eastAsia="仿宋_GB2312" w:cs="仿宋_GB2312"/>
          <w:sz w:val="32"/>
          <w:szCs w:val="32"/>
          <w:lang w:eastAsia="zh-CN"/>
        </w:rPr>
        <w:t>北京</w:t>
      </w:r>
      <w:r>
        <w:rPr>
          <w:rFonts w:hint="eastAsia" w:ascii="仿宋_GB2312" w:hAnsi="仿宋_GB2312" w:eastAsia="仿宋_GB2312" w:cs="仿宋_GB2312"/>
          <w:sz w:val="32"/>
          <w:szCs w:val="32"/>
        </w:rPr>
        <w:t>市科协近年来打造的前沿领域学术交流品牌活动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采用定量定性结合的学术成果遴选方式。2023年，围绕北京市“十四五”时期高精尖产业发展规划，聚焦前沿领域，选择新一代信息技术、医药健康、人工智能、集成电路、智能制造与装备、绿色能源与节能环保等高精尖产业与数理化等基础学科，遴选北京学者5年来的前沿学术成果，与各区、“三城一区”、企业合作开展符合区域发展、符合产业需求、符合人才成长的报告会。</w:t>
      </w:r>
    </w:p>
    <w:p>
      <w:pPr>
        <w:spacing w:line="560" w:lineRule="exact"/>
        <w:ind w:firstLine="56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2.领域范围：新一代信息技术、医药健康、人工智能、集成电路、智能制造与装备、绿色能源与节能环保等高精尖产业与数理化等基础学科；</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组织定量定性遴选，每个领域遴选出20项学术成果</w:t>
      </w:r>
      <w:r>
        <w:rPr>
          <w:rFonts w:hint="eastAsia" w:ascii="仿宋_GB2312" w:hAnsi="仿宋_GB2312" w:eastAsia="仿宋_GB2312" w:cs="仿宋_GB2312"/>
          <w:sz w:val="32"/>
          <w:szCs w:val="32"/>
          <w:lang w:eastAsia="zh-CN"/>
        </w:rPr>
        <w:t>，围</w:t>
      </w:r>
      <w:r>
        <w:rPr>
          <w:rFonts w:hint="eastAsia" w:ascii="仿宋_GB2312" w:hAnsi="仿宋_GB2312" w:eastAsia="仿宋_GB2312" w:cs="仿宋_GB2312"/>
          <w:sz w:val="32"/>
          <w:szCs w:val="32"/>
        </w:rPr>
        <w:t>绕遴选出的学术成果，组织不少于</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场前沿领域报告会；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.每个</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限申报一项；</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.经费额度：不超过10万元/项；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.项目周期：2023年11月底前完成。</w:t>
      </w:r>
    </w:p>
    <w:p>
      <w:pPr>
        <w:spacing w:line="560" w:lineRule="exact"/>
        <w:ind w:firstLine="64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三、专项名称：交叉学术活动</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项目说明：</w:t>
      </w:r>
      <w:r>
        <w:rPr>
          <w:rFonts w:hint="eastAsia" w:ascii="仿宋_GB2312" w:hAnsi="仿宋_GB2312" w:eastAsia="仿宋_GB2312" w:cs="仿宋_GB2312"/>
          <w:sz w:val="32"/>
          <w:szCs w:val="32"/>
        </w:rPr>
        <w:t>此项目旨在围绕国家与北京市发展需求，以建设北京国际科技创新中心、加速北京市高精尖产业发展为目标，打造具有科协特色的交叉学术活动平台。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2023年，结合近两年与“交叉学科”相关的政策文件、基金资助项目以及高等院校交叉学科设置、国家/省级实验室交叉学科发展情况、院士选拔学科等情况，重点支持生物医药信息、生物医学工程、类脑技术、量子通信、智能遥感、智慧农业、绿色化学、金融科技等交叉学科领域的学术交流活动。</w:t>
      </w:r>
    </w:p>
    <w:p>
      <w:pPr>
        <w:spacing w:line="560" w:lineRule="exact"/>
        <w:ind w:firstLine="56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2.领域范围：生物医药信息、生物医学工程、类脑技术、量子通信、智能遥感、智慧农业、绿色化学、金融科技等；</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鼓励</w:t>
      </w:r>
      <w:r>
        <w:rPr>
          <w:rFonts w:hint="eastAsia" w:ascii="仿宋_GB2312" w:hAnsi="仿宋_GB2312" w:eastAsia="仿宋_GB2312" w:cs="仿宋_GB2312"/>
          <w:sz w:val="32"/>
          <w:szCs w:val="32"/>
        </w:rPr>
        <w:t>相</w:t>
      </w:r>
      <w:r>
        <w:rPr>
          <w:rFonts w:hint="eastAsia" w:ascii="仿宋_GB2312" w:hAnsi="仿宋_GB2312" w:eastAsia="仿宋_GB2312" w:cs="仿宋_GB2312"/>
          <w:sz w:val="32"/>
          <w:szCs w:val="32"/>
          <w:lang w:eastAsia="zh-CN"/>
        </w:rPr>
        <w:t>关</w:t>
      </w:r>
      <w:r>
        <w:rPr>
          <w:rFonts w:hint="eastAsia" w:ascii="仿宋_GB2312" w:hAnsi="仿宋_GB2312" w:eastAsia="仿宋_GB2312" w:cs="仿宋_GB2312"/>
          <w:sz w:val="32"/>
          <w:szCs w:val="32"/>
        </w:rPr>
        <w:t>领域多家单位</w:t>
      </w:r>
      <w:r>
        <w:rPr>
          <w:rFonts w:hint="eastAsia" w:ascii="仿宋_GB2312" w:hAnsi="仿宋_GB2312" w:eastAsia="仿宋_GB2312" w:cs="仿宋_GB2312"/>
          <w:sz w:val="32"/>
          <w:szCs w:val="32"/>
          <w:lang w:eastAsia="zh-CN"/>
        </w:rPr>
        <w:t>合作</w:t>
      </w:r>
      <w:r>
        <w:rPr>
          <w:rFonts w:hint="eastAsia" w:ascii="仿宋_GB2312" w:hAnsi="仿宋_GB2312" w:eastAsia="仿宋_GB2312" w:cs="仿宋_GB2312"/>
          <w:sz w:val="32"/>
          <w:szCs w:val="32"/>
        </w:rPr>
        <w:t>，由一家单位牵头</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，协同其他</w:t>
      </w:r>
      <w:r>
        <w:rPr>
          <w:rFonts w:hint="eastAsia" w:ascii="仿宋_GB2312" w:hAnsi="仿宋_GB2312" w:eastAsia="仿宋_GB2312" w:cs="仿宋_GB2312"/>
          <w:sz w:val="32"/>
          <w:szCs w:val="32"/>
          <w:lang w:eastAsia="zh-CN"/>
        </w:rPr>
        <w:t>合作</w:t>
      </w:r>
      <w:r>
        <w:rPr>
          <w:rFonts w:hint="eastAsia" w:ascii="仿宋_GB2312" w:hAnsi="仿宋_GB2312" w:eastAsia="仿宋_GB2312" w:cs="仿宋_GB2312"/>
          <w:sz w:val="32"/>
          <w:szCs w:val="32"/>
        </w:rPr>
        <w:t>单位共同开展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申报书中须明确各参与单位的名称</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主承办责任</w:t>
      </w:r>
      <w:r>
        <w:rPr>
          <w:rFonts w:hint="eastAsia" w:ascii="仿宋_GB2312" w:hAnsi="仿宋_GB2312" w:eastAsia="仿宋_GB2312" w:cs="仿宋_GB2312"/>
          <w:sz w:val="32"/>
          <w:szCs w:val="32"/>
          <w:lang w:eastAsia="zh-CN"/>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4.经费额度：不超过10万元/项；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5.项目周期：2023年11月底前完成。</w:t>
      </w:r>
    </w:p>
    <w:p>
      <w:pPr>
        <w:spacing w:line="560" w:lineRule="exact"/>
        <w:ind w:firstLine="640" w:firstLineChars="200"/>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四、专项名称：品牌学术活动</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此项目旨在打造特色品牌学术交流活动，形成特色鲜明、线上线下模式互相支撑、互相补充的国际化、前沿化、交叉化、青年化品牌学术活动，在基础研究、应用研究、技术开发和产业化领域做精做强一批有特色的学术会议，力争在重要科技领域实现跨越发展，掌握新一轮全球科技竞争的战略主动。</w:t>
      </w:r>
    </w:p>
    <w:p>
      <w:pPr>
        <w:spacing w:line="560" w:lineRule="exact"/>
        <w:ind w:firstLine="630" w:firstLineChars="196"/>
        <w:rPr>
          <w:rFonts w:ascii="仿宋_GB2312" w:hAnsi="仿宋_GB2312" w:eastAsia="仿宋_GB2312" w:cs="仿宋_GB2312"/>
          <w:b/>
          <w:sz w:val="32"/>
          <w:szCs w:val="32"/>
        </w:rPr>
      </w:pPr>
      <w:r>
        <w:rPr>
          <w:rFonts w:hint="eastAsia" w:ascii="仿宋_GB2312" w:hAnsi="仿宋_GB2312" w:eastAsia="仿宋_GB2312" w:cs="仿宋_GB2312"/>
          <w:b/>
          <w:sz w:val="32"/>
          <w:szCs w:val="32"/>
        </w:rPr>
        <w:t>（一）子项1：品牌学术活动(A类)</w:t>
      </w:r>
    </w:p>
    <w:p>
      <w:pPr>
        <w:spacing w:line="560" w:lineRule="exact"/>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sz w:val="32"/>
          <w:szCs w:val="32"/>
        </w:rPr>
        <w:t>旨在打造高端学术交流活动。鼓励</w:t>
      </w:r>
      <w:r>
        <w:rPr>
          <w:rFonts w:hint="eastAsia" w:ascii="仿宋_GB2312" w:hAnsi="仿宋_GB2312" w:eastAsia="仿宋_GB2312" w:cs="仿宋_GB2312"/>
          <w:sz w:val="32"/>
          <w:szCs w:val="32"/>
          <w:lang w:eastAsia="zh-CN"/>
        </w:rPr>
        <w:t>北京市科协团体会员和基层组织</w:t>
      </w:r>
      <w:r>
        <w:rPr>
          <w:rFonts w:hint="eastAsia" w:ascii="仿宋_GB2312" w:hAnsi="仿宋_GB2312" w:eastAsia="仿宋_GB2312" w:cs="仿宋_GB2312"/>
          <w:sz w:val="32"/>
          <w:szCs w:val="32"/>
        </w:rPr>
        <w:t>与全国学会、海外学术组织加强合作，提高学术活动品质，提升学术影响力，引导</w:t>
      </w:r>
      <w:r>
        <w:rPr>
          <w:rFonts w:hint="eastAsia" w:ascii="仿宋_GB2312" w:hAnsi="仿宋_GB2312" w:eastAsia="仿宋_GB2312" w:cs="仿宋_GB2312"/>
          <w:sz w:val="32"/>
          <w:szCs w:val="32"/>
          <w:lang w:eastAsia="zh-CN"/>
        </w:rPr>
        <w:t>团体会员和基层组织</w:t>
      </w:r>
      <w:r>
        <w:rPr>
          <w:rFonts w:hint="eastAsia" w:ascii="仿宋_GB2312" w:hAnsi="仿宋_GB2312" w:eastAsia="仿宋_GB2312" w:cs="仿宋_GB2312"/>
          <w:sz w:val="32"/>
          <w:szCs w:val="32"/>
        </w:rPr>
        <w:t>在不同学科领域做精做强一批有特色的学术会议。</w:t>
      </w:r>
    </w:p>
    <w:p>
      <w:pPr>
        <w:spacing w:line="56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申报的活动须为申报单位</w:t>
      </w:r>
      <w:r>
        <w:rPr>
          <w:rFonts w:hint="eastAsia" w:ascii="仿宋_GB2312" w:hAnsi="仿宋_GB2312" w:eastAsia="仿宋_GB2312" w:cs="仿宋_GB2312"/>
          <w:sz w:val="32"/>
          <w:szCs w:val="32"/>
        </w:rPr>
        <w:t>主办或主要承办的在京召开</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具有较大影响力的国内外学术</w:t>
      </w:r>
      <w:r>
        <w:rPr>
          <w:rFonts w:hint="eastAsia" w:ascii="仿宋_GB2312" w:hAnsi="仿宋_GB2312" w:eastAsia="仿宋_GB2312" w:cs="仿宋_GB2312"/>
          <w:sz w:val="32"/>
          <w:szCs w:val="32"/>
          <w:lang w:eastAsia="zh-CN"/>
        </w:rPr>
        <w:t>会议</w:t>
      </w:r>
      <w:r>
        <w:rPr>
          <w:rFonts w:hint="eastAsia" w:ascii="仿宋_GB2312" w:hAnsi="仿宋_GB2312" w:eastAsia="仿宋_GB2312" w:cs="仿宋_GB2312"/>
          <w:sz w:val="32"/>
          <w:szCs w:val="32"/>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.申报书中须明确各参与单位的名称</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主承办责任；</w:t>
      </w:r>
    </w:p>
    <w:p>
      <w:pPr>
        <w:spacing w:line="560" w:lineRule="exact"/>
        <w:ind w:firstLine="627" w:firstLineChars="196"/>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4.每个</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限申报一项</w:t>
      </w:r>
      <w:r>
        <w:rPr>
          <w:rFonts w:hint="eastAsia" w:ascii="仿宋_GB2312" w:hAnsi="仿宋_GB2312" w:eastAsia="仿宋_GB2312" w:cs="仿宋_GB2312"/>
          <w:sz w:val="32"/>
          <w:szCs w:val="32"/>
          <w:lang w:eastAsia="zh-CN"/>
        </w:rPr>
        <w:t>；</w:t>
      </w:r>
    </w:p>
    <w:p>
      <w:pPr>
        <w:spacing w:line="560" w:lineRule="exact"/>
        <w:ind w:firstLine="627" w:firstLineChars="196"/>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5.经费额度：8万元/项</w:t>
      </w:r>
      <w:r>
        <w:rPr>
          <w:rFonts w:hint="eastAsia" w:ascii="仿宋_GB2312" w:hAnsi="仿宋_GB2312" w:eastAsia="仿宋_GB2312" w:cs="仿宋_GB2312"/>
          <w:sz w:val="32"/>
          <w:szCs w:val="32"/>
          <w:lang w:eastAsia="zh-CN"/>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6.项目周期：2023年11月底前完成。</w:t>
      </w:r>
    </w:p>
    <w:p>
      <w:pPr>
        <w:spacing w:line="560" w:lineRule="exact"/>
        <w:ind w:firstLine="630" w:firstLineChars="196"/>
        <w:rPr>
          <w:rFonts w:ascii="仿宋_GB2312" w:hAnsi="仿宋_GB2312" w:eastAsia="仿宋_GB2312" w:cs="仿宋_GB2312"/>
          <w:b/>
          <w:sz w:val="32"/>
          <w:szCs w:val="32"/>
        </w:rPr>
      </w:pPr>
      <w:r>
        <w:rPr>
          <w:rFonts w:hint="eastAsia" w:ascii="仿宋_GB2312" w:hAnsi="仿宋_GB2312" w:eastAsia="仿宋_GB2312" w:cs="仿宋_GB2312"/>
          <w:b/>
          <w:sz w:val="32"/>
          <w:szCs w:val="32"/>
        </w:rPr>
        <w:t>（二）子项2：品牌学术活动(B类)</w:t>
      </w:r>
    </w:p>
    <w:p>
      <w:pPr>
        <w:spacing w:line="560" w:lineRule="exact"/>
        <w:ind w:firstLine="630" w:firstLineChars="196"/>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sz w:val="32"/>
          <w:szCs w:val="32"/>
        </w:rPr>
        <w:t>旨在打造</w:t>
      </w:r>
      <w:r>
        <w:rPr>
          <w:rFonts w:hint="eastAsia" w:ascii="仿宋_GB2312" w:hAnsi="仿宋_GB2312" w:eastAsia="仿宋_GB2312" w:cs="仿宋_GB2312"/>
          <w:sz w:val="32"/>
          <w:szCs w:val="32"/>
          <w:lang w:eastAsia="zh-CN"/>
        </w:rPr>
        <w:t>北京市科协团体会员和基层组织的</w:t>
      </w:r>
      <w:r>
        <w:rPr>
          <w:rFonts w:hint="eastAsia" w:ascii="仿宋_GB2312" w:hAnsi="仿宋_GB2312" w:eastAsia="仿宋_GB2312" w:cs="仿宋_GB2312"/>
          <w:sz w:val="32"/>
          <w:szCs w:val="32"/>
        </w:rPr>
        <w:t>品牌学术交流活动。鼓励开展主题鲜明、影响广泛、引领作用明显的学术活动，推动重大科学问题的深入交流和探索，逐步形成连续届次的学术</w:t>
      </w:r>
      <w:r>
        <w:rPr>
          <w:rFonts w:hint="eastAsia" w:ascii="仿宋_GB2312" w:hAnsi="仿宋_GB2312" w:eastAsia="仿宋_GB2312" w:cs="仿宋_GB2312"/>
          <w:sz w:val="32"/>
          <w:szCs w:val="32"/>
          <w:lang w:eastAsia="zh-CN"/>
        </w:rPr>
        <w:t>品牌</w:t>
      </w:r>
      <w:r>
        <w:rPr>
          <w:rFonts w:hint="eastAsia" w:ascii="仿宋_GB2312" w:hAnsi="仿宋_GB2312" w:eastAsia="仿宋_GB2312" w:cs="仿宋_GB2312"/>
          <w:sz w:val="32"/>
          <w:szCs w:val="32"/>
        </w:rPr>
        <w:t>。</w:t>
      </w:r>
    </w:p>
    <w:p>
      <w:pPr>
        <w:spacing w:line="56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2.由</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主办的、在京召开的具有较大影响力的各类品牌学术活动等；</w:t>
      </w:r>
    </w:p>
    <w:p>
      <w:pPr>
        <w:spacing w:line="560" w:lineRule="exact"/>
        <w:ind w:firstLine="627" w:firstLineChars="196"/>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3.每个</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限申报一项</w:t>
      </w:r>
      <w:r>
        <w:rPr>
          <w:rFonts w:hint="eastAsia" w:ascii="仿宋_GB2312" w:hAnsi="仿宋_GB2312" w:eastAsia="仿宋_GB2312" w:cs="仿宋_GB2312"/>
          <w:sz w:val="32"/>
          <w:szCs w:val="32"/>
          <w:lang w:eastAsia="zh-CN"/>
        </w:rPr>
        <w:t>；</w:t>
      </w:r>
    </w:p>
    <w:p>
      <w:pPr>
        <w:spacing w:line="560" w:lineRule="exact"/>
        <w:ind w:firstLine="627" w:firstLineChars="196"/>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4.经费额度：5万元/项</w:t>
      </w:r>
      <w:r>
        <w:rPr>
          <w:rFonts w:hint="eastAsia" w:ascii="仿宋_GB2312" w:hAnsi="仿宋_GB2312" w:eastAsia="仿宋_GB2312" w:cs="仿宋_GB2312"/>
          <w:sz w:val="32"/>
          <w:szCs w:val="32"/>
          <w:lang w:eastAsia="zh-CN"/>
        </w:rPr>
        <w:t>；</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5.项目周期：2023年11月底前完成。</w:t>
      </w:r>
    </w:p>
    <w:p>
      <w:pPr>
        <w:spacing w:line="560" w:lineRule="exact"/>
        <w:ind w:firstLine="630" w:firstLineChars="196"/>
        <w:rPr>
          <w:rFonts w:ascii="仿宋_GB2312" w:hAnsi="仿宋_GB2312" w:eastAsia="仿宋_GB2312" w:cs="仿宋_GB2312"/>
          <w:b/>
          <w:sz w:val="32"/>
          <w:szCs w:val="32"/>
        </w:rPr>
      </w:pPr>
      <w:r>
        <w:rPr>
          <w:rFonts w:hint="eastAsia" w:ascii="仿宋_GB2312" w:hAnsi="仿宋_GB2312" w:eastAsia="仿宋_GB2312" w:cs="仿宋_GB2312"/>
          <w:b/>
          <w:sz w:val="32"/>
          <w:szCs w:val="32"/>
        </w:rPr>
        <w:t>（三）子项3：品牌学术活动(C类)</w:t>
      </w:r>
    </w:p>
    <w:p>
      <w:pPr>
        <w:autoSpaceDE w:val="0"/>
        <w:autoSpaceDN w:val="0"/>
        <w:adjustRightInd w:val="0"/>
        <w:spacing w:line="56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sz w:val="32"/>
          <w:szCs w:val="32"/>
        </w:rPr>
        <w:t>旨在鼓励围绕前沿重大科学问题的原创性理论、制约学科领域发展的关键性问题举办的各类学术活动，深入推进专业性学科探讨和跨领域学术交流。</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56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北京市科协团体会员、基层组织</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2.由</w:t>
      </w:r>
      <w:r>
        <w:rPr>
          <w:rFonts w:hint="eastAsia" w:ascii="仿宋_GB2312" w:hAnsi="仿宋_GB2312" w:eastAsia="仿宋_GB2312" w:cs="仿宋_GB2312"/>
          <w:sz w:val="32"/>
          <w:szCs w:val="32"/>
          <w:lang w:eastAsia="zh-CN"/>
        </w:rPr>
        <w:t>申报单位</w:t>
      </w:r>
      <w:r>
        <w:rPr>
          <w:rFonts w:hint="eastAsia" w:ascii="仿宋_GB2312" w:hAnsi="仿宋_GB2312" w:eastAsia="仿宋_GB2312" w:cs="仿宋_GB2312"/>
          <w:sz w:val="32"/>
          <w:szCs w:val="32"/>
        </w:rPr>
        <w:t>主办</w:t>
      </w:r>
      <w:r>
        <w:rPr>
          <w:rFonts w:hint="eastAsia" w:ascii="仿宋_GB2312" w:hAnsi="仿宋_GB2312" w:eastAsia="仿宋_GB2312" w:cs="仿宋_GB2312"/>
          <w:sz w:val="32"/>
          <w:szCs w:val="32"/>
          <w:lang w:eastAsia="zh-CN"/>
        </w:rPr>
        <w:t>或承办的、</w:t>
      </w:r>
      <w:r>
        <w:rPr>
          <w:rFonts w:hint="eastAsia" w:ascii="仿宋_GB2312" w:hAnsi="仿宋_GB2312" w:eastAsia="仿宋_GB2312" w:cs="仿宋_GB2312"/>
          <w:sz w:val="32"/>
          <w:szCs w:val="32"/>
        </w:rPr>
        <w:t>在京召开的</w:t>
      </w:r>
      <w:r>
        <w:rPr>
          <w:rFonts w:hint="eastAsia" w:ascii="仿宋_GB2312" w:hAnsi="仿宋_GB2312" w:eastAsia="仿宋_GB2312" w:cs="仿宋_GB2312"/>
          <w:sz w:val="32"/>
          <w:szCs w:val="32"/>
          <w:lang w:eastAsia="zh-CN"/>
        </w:rPr>
        <w:t>学术活动</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3.每个</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限申报一项</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4.经费额度：2万元/项</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5.项目周期：2023年11月底前完成。</w:t>
      </w:r>
    </w:p>
    <w:p>
      <w:pPr>
        <w:spacing w:line="620" w:lineRule="exact"/>
        <w:ind w:firstLine="645"/>
        <w:rPr>
          <w:rFonts w:ascii="方正黑体_GBK" w:hAnsi="方正黑体_GBK" w:eastAsia="方正黑体_GBK" w:cs="方正黑体_GBK"/>
          <w:bCs/>
          <w:sz w:val="32"/>
          <w:szCs w:val="32"/>
        </w:rPr>
      </w:pPr>
      <w:r>
        <w:rPr>
          <w:rFonts w:hint="eastAsia" w:eastAsia="方正黑体_GBK" w:cs="方正黑体_GBK" w:asciiTheme="minorHAnsi" w:hAnsiTheme="minorHAnsi"/>
          <w:bCs/>
          <w:sz w:val="32"/>
          <w:szCs w:val="32"/>
        </w:rPr>
        <w:t>五</w:t>
      </w:r>
      <w:r>
        <w:rPr>
          <w:rFonts w:hint="eastAsia" w:ascii="方正黑体_GBK" w:hAnsi="方正黑体_GBK" w:eastAsia="方正黑体_GBK" w:cs="方正黑体_GBK"/>
          <w:bCs/>
          <w:sz w:val="32"/>
          <w:szCs w:val="32"/>
        </w:rPr>
        <w:t>、专项名称：青年人才托举工程</w:t>
      </w:r>
    </w:p>
    <w:p>
      <w:pPr>
        <w:spacing w:line="620" w:lineRule="exact"/>
        <w:ind w:firstLine="645"/>
        <w:rPr>
          <w:rFonts w:ascii="仿宋_GB2312" w:hAnsi="仿宋_GB2312" w:eastAsia="仿宋_GB2312" w:cs="仿宋_GB2312"/>
          <w:sz w:val="32"/>
          <w:szCs w:val="32"/>
        </w:rPr>
      </w:pPr>
      <w:r>
        <w:rPr>
          <w:rFonts w:hint="eastAsia" w:ascii="仿宋_GB2312" w:hAnsi="仿宋_GB2312" w:eastAsia="仿宋_GB2312" w:cs="仿宋_GB2312"/>
          <w:b/>
          <w:sz w:val="32"/>
          <w:szCs w:val="32"/>
        </w:rPr>
        <w:t>项目说明：</w:t>
      </w:r>
      <w:r>
        <w:rPr>
          <w:rFonts w:hint="eastAsia" w:ascii="仿宋_GB2312" w:hAnsi="仿宋_GB2312" w:eastAsia="仿宋_GB2312" w:cs="仿宋_GB2312"/>
          <w:sz w:val="32"/>
          <w:szCs w:val="32"/>
        </w:rPr>
        <w:t>引导、支持在京全国学会、</w:t>
      </w:r>
      <w:r>
        <w:rPr>
          <w:rFonts w:hint="eastAsia" w:ascii="仿宋_GB2312" w:hAnsi="仿宋_GB2312" w:eastAsia="仿宋_GB2312" w:cs="仿宋_GB2312"/>
          <w:sz w:val="32"/>
          <w:szCs w:val="32"/>
          <w:lang w:eastAsia="zh-CN"/>
        </w:rPr>
        <w:t>北京</w:t>
      </w:r>
      <w:r>
        <w:rPr>
          <w:rFonts w:hint="eastAsia" w:ascii="仿宋_GB2312" w:hAnsi="仿宋_GB2312" w:eastAsia="仿宋_GB2312" w:cs="仿宋_GB2312"/>
          <w:sz w:val="32"/>
          <w:szCs w:val="32"/>
        </w:rPr>
        <w:t>市科协</w:t>
      </w:r>
      <w:r>
        <w:rPr>
          <w:rFonts w:hint="eastAsia" w:ascii="仿宋_GB2312" w:hAnsi="仿宋_GB2312" w:eastAsia="仿宋_GB2312" w:cs="仿宋_GB2312"/>
          <w:sz w:val="32"/>
          <w:szCs w:val="32"/>
          <w:lang w:eastAsia="zh-CN"/>
        </w:rPr>
        <w:t>团体会员</w:t>
      </w:r>
      <w:r>
        <w:rPr>
          <w:rFonts w:hint="eastAsia" w:ascii="仿宋_GB2312" w:hAnsi="仿宋_GB2312" w:eastAsia="仿宋_GB2312" w:cs="仿宋_GB2312"/>
          <w:sz w:val="32"/>
          <w:szCs w:val="32"/>
        </w:rPr>
        <w:t>、基层组织探索创新青年科技人才选拔培养机制，不拘一格地发现、扶持、培养有望成为未来科技领军人物的首都优秀青年人才，帮助他们在个人成长的关键时期做出突出业绩，成长为行业的学术带头人、北京建设国际科技创新中心的高层次领军人才和高水平创新团队的重要后备力量。</w:t>
      </w:r>
    </w:p>
    <w:p>
      <w:pPr>
        <w:spacing w:line="620" w:lineRule="exact"/>
        <w:ind w:firstLine="645"/>
        <w:rPr>
          <w:rFonts w:ascii="仿宋_GB2312" w:hAnsi="仿宋_GB2312" w:eastAsia="仿宋_GB2312" w:cs="仿宋_GB2312"/>
          <w:b/>
          <w:sz w:val="32"/>
          <w:szCs w:val="32"/>
        </w:rPr>
      </w:pPr>
      <w:r>
        <w:rPr>
          <w:rFonts w:hint="eastAsia" w:ascii="仿宋_GB2312" w:hAnsi="仿宋_GB2312" w:eastAsia="仿宋_GB2312" w:cs="仿宋_GB2312"/>
          <w:b/>
          <w:sz w:val="32"/>
          <w:szCs w:val="32"/>
        </w:rPr>
        <w:t xml:space="preserve">项目要求： </w:t>
      </w:r>
    </w:p>
    <w:p>
      <w:pPr>
        <w:spacing w:line="62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1.该项目仅限于2021-2023年度、2022-2024年度和2023-2025年度立项组织</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申请；</w:t>
      </w:r>
    </w:p>
    <w:p>
      <w:pPr>
        <w:spacing w:line="620" w:lineRule="exact"/>
        <w:ind w:firstLine="64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2.经费额度：不超过1万元/人</w:t>
      </w:r>
      <w:r>
        <w:rPr>
          <w:rFonts w:hint="eastAsia" w:ascii="仿宋_GB2312" w:hAnsi="仿宋_GB2312" w:eastAsia="仿宋_GB2312" w:cs="仿宋_GB2312"/>
          <w:sz w:val="32"/>
          <w:szCs w:val="32"/>
          <w:lang w:eastAsia="zh-CN"/>
        </w:rPr>
        <w:t>；</w:t>
      </w:r>
    </w:p>
    <w:p>
      <w:pPr>
        <w:spacing w:line="620" w:lineRule="exact"/>
        <w:ind w:firstLine="64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.项目周期：2023年11月底完成</w:t>
      </w:r>
      <w:r>
        <w:rPr>
          <w:rFonts w:hint="eastAsia" w:ascii="仿宋_GB2312" w:hAnsi="仿宋_GB2312" w:eastAsia="仿宋_GB2312" w:cs="仿宋_GB2312"/>
          <w:sz w:val="32"/>
          <w:szCs w:val="32"/>
          <w:lang w:eastAsia="zh-CN"/>
        </w:rPr>
        <w:t>。</w:t>
      </w:r>
    </w:p>
    <w:p>
      <w:pPr>
        <w:spacing w:line="620" w:lineRule="exact"/>
        <w:ind w:firstLine="645"/>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lang w:eastAsia="zh-CN"/>
        </w:rPr>
        <w:t>六、</w:t>
      </w:r>
      <w:r>
        <w:rPr>
          <w:rFonts w:hint="eastAsia" w:ascii="方正黑体_GBK" w:hAnsi="方正黑体_GBK" w:eastAsia="方正黑体_GBK" w:cs="方正黑体_GBK"/>
          <w:bCs/>
          <w:sz w:val="32"/>
          <w:szCs w:val="32"/>
        </w:rPr>
        <w:t>专项名称：科技评价</w:t>
      </w:r>
    </w:p>
    <w:p>
      <w:pPr>
        <w:spacing w:line="620" w:lineRule="exact"/>
        <w:ind w:firstLine="630" w:firstLineChars="196"/>
        <w:rPr>
          <w:rFonts w:ascii="仿宋_GB2312" w:hAnsi="仿宋_GB2312" w:eastAsia="仿宋_GB2312" w:cs="仿宋_GB2312"/>
          <w:kern w:val="0"/>
          <w:sz w:val="32"/>
          <w:szCs w:val="32"/>
        </w:rPr>
      </w:pPr>
      <w:r>
        <w:rPr>
          <w:rFonts w:hint="eastAsia" w:ascii="仿宋_GB2312" w:hAnsi="仿宋_GB2312" w:eastAsia="仿宋_GB2312" w:cs="仿宋_GB2312"/>
          <w:b/>
          <w:bCs/>
          <w:sz w:val="32"/>
          <w:szCs w:val="32"/>
        </w:rPr>
        <w:t>项目说明：</w:t>
      </w:r>
      <w:r>
        <w:rPr>
          <w:rFonts w:hint="eastAsia" w:ascii="仿宋_GB2312" w:hAnsi="仿宋_GB2312" w:eastAsia="仿宋_GB2312" w:cs="仿宋_GB2312"/>
          <w:kern w:val="0"/>
          <w:sz w:val="32"/>
          <w:szCs w:val="32"/>
        </w:rPr>
        <w:t>支持引导</w:t>
      </w:r>
      <w:r>
        <w:rPr>
          <w:rFonts w:hint="eastAsia" w:ascii="仿宋_GB2312" w:hAnsi="仿宋_GB2312" w:eastAsia="仿宋_GB2312" w:cs="仿宋_GB2312"/>
          <w:kern w:val="0"/>
          <w:sz w:val="32"/>
          <w:szCs w:val="32"/>
          <w:lang w:eastAsia="zh-CN"/>
        </w:rPr>
        <w:t>北京</w:t>
      </w:r>
      <w:r>
        <w:rPr>
          <w:rFonts w:hint="eastAsia" w:ascii="仿宋_GB2312" w:hAnsi="仿宋_GB2312" w:eastAsia="仿宋_GB2312" w:cs="仿宋_GB2312"/>
          <w:kern w:val="0"/>
          <w:sz w:val="32"/>
          <w:szCs w:val="32"/>
        </w:rPr>
        <w:t>市科协团体会员积极开展科技评价工作，树立以科技创新质量、绩效、贡献为核心的正确评价导向，建立科技成果评价的科学、技术、经济、社会、文化五元价值机制，推动高质量成果产出，打造科技评价应用场景，促进科技人才成长，营造良好创新生态。</w:t>
      </w:r>
    </w:p>
    <w:p>
      <w:pPr>
        <w:spacing w:line="620" w:lineRule="exact"/>
        <w:ind w:firstLine="630" w:firstLineChars="196"/>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项目要求：</w:t>
      </w:r>
    </w:p>
    <w:p>
      <w:pPr>
        <w:spacing w:line="62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1.申报对象：</w:t>
      </w:r>
      <w:r>
        <w:rPr>
          <w:rFonts w:hint="eastAsia" w:ascii="仿宋_GB2312" w:hAnsi="仿宋_GB2312" w:eastAsia="仿宋_GB2312" w:cs="仿宋_GB2312"/>
          <w:sz w:val="32"/>
          <w:szCs w:val="32"/>
          <w:lang w:eastAsia="zh-CN"/>
        </w:rPr>
        <w:t>北京</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科协团体会员</w:t>
      </w:r>
      <w:r>
        <w:rPr>
          <w:rFonts w:hint="eastAsia" w:ascii="仿宋_GB2312" w:hAnsi="仿宋_GB2312" w:eastAsia="仿宋_GB2312" w:cs="仿宋_GB2312"/>
          <w:sz w:val="32"/>
          <w:szCs w:val="32"/>
        </w:rPr>
        <w:t>、基层组织</w:t>
      </w:r>
      <w:r>
        <w:rPr>
          <w:rFonts w:hint="eastAsia" w:ascii="仿宋_GB2312" w:hAnsi="仿宋_GB2312" w:eastAsia="仿宋_GB2312" w:cs="仿宋_GB2312"/>
          <w:sz w:val="32"/>
          <w:szCs w:val="32"/>
          <w:lang w:eastAsia="zh-CN"/>
        </w:rPr>
        <w:t>以及“</w:t>
      </w:r>
      <w:r>
        <w:rPr>
          <w:rFonts w:hint="eastAsia" w:ascii="仿宋_GB2312" w:hAnsi="仿宋_GB2312" w:eastAsia="仿宋_GB2312" w:cs="仿宋_GB2312"/>
          <w:sz w:val="32"/>
          <w:szCs w:val="32"/>
        </w:rPr>
        <w:t>北京市科技成果评价改革试点单位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62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2.重点支持打造</w:t>
      </w:r>
      <w:r>
        <w:rPr>
          <w:rFonts w:hint="eastAsia" w:ascii="仿宋_GB2312" w:hAnsi="仿宋_GB2312" w:eastAsia="仿宋_GB2312" w:cs="仿宋_GB2312"/>
          <w:kern w:val="0"/>
          <w:sz w:val="32"/>
          <w:szCs w:val="32"/>
        </w:rPr>
        <w:t>科技成果评价、技术评价、科学技术项目评价（课题评估）、在校研究生评价、科技人才评价（不含学生会员）、承担政府委托奖项或参与全国学会开展的奖项推荐、开展社会力量设立科学技术奖、团体标准制订等</w:t>
      </w:r>
      <w:r>
        <w:rPr>
          <w:rFonts w:hint="eastAsia" w:ascii="仿宋_GB2312" w:hAnsi="仿宋_GB2312" w:eastAsia="仿宋_GB2312" w:cs="仿宋_GB2312"/>
          <w:sz w:val="32"/>
          <w:szCs w:val="32"/>
        </w:rPr>
        <w:t>科技评价应用场景；</w:t>
      </w:r>
    </w:p>
    <w:p>
      <w:pPr>
        <w:spacing w:line="620" w:lineRule="exact"/>
        <w:ind w:firstLine="627" w:firstLineChars="196"/>
        <w:rPr>
          <w:rFonts w:ascii="仿宋_GB2312" w:hAnsi="仿宋_GB2312" w:eastAsia="仿宋_GB2312" w:cs="仿宋_GB2312"/>
          <w:sz w:val="32"/>
          <w:szCs w:val="32"/>
        </w:rPr>
      </w:pPr>
      <w:r>
        <w:rPr>
          <w:rFonts w:hint="eastAsia" w:ascii="仿宋_GB2312" w:hAnsi="仿宋_GB2312" w:eastAsia="仿宋_GB2312" w:cs="仿宋_GB2312"/>
          <w:sz w:val="32"/>
          <w:szCs w:val="32"/>
        </w:rPr>
        <w:t>3.举办不少于</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次应用场景的科技评价沙龙或研讨会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梳理汇总相应场景北京市开展现状，形成科技评价工作总结；</w:t>
      </w:r>
    </w:p>
    <w:p>
      <w:pPr>
        <w:spacing w:line="620" w:lineRule="exact"/>
        <w:ind w:firstLine="627" w:firstLineChars="196"/>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zh-TW"/>
        </w:rPr>
        <w:t>经费额度：不超过</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zh-TW"/>
        </w:rPr>
        <w:t>万元</w:t>
      </w:r>
      <w:r>
        <w:rPr>
          <w:rFonts w:hint="eastAsia" w:ascii="仿宋_GB2312" w:hAnsi="仿宋_GB2312" w:eastAsia="仿宋_GB2312" w:cs="仿宋_GB2312"/>
          <w:sz w:val="32"/>
          <w:szCs w:val="32"/>
        </w:rPr>
        <w:t>/项</w:t>
      </w:r>
      <w:r>
        <w:rPr>
          <w:rFonts w:hint="eastAsia" w:ascii="仿宋_GB2312" w:hAnsi="仿宋_GB2312" w:eastAsia="仿宋_GB2312" w:cs="仿宋_GB2312"/>
          <w:sz w:val="32"/>
          <w:szCs w:val="32"/>
          <w:lang w:val="zh-TW"/>
        </w:rPr>
        <w:t>；</w:t>
      </w:r>
    </w:p>
    <w:p>
      <w:pPr>
        <w:pStyle w:val="14"/>
        <w:spacing w:line="620" w:lineRule="exact"/>
        <w:ind w:firstLine="640"/>
        <w:rPr>
          <w:rFonts w:ascii="仿宋_GB2312" w:hAnsi="仿宋_GB2312" w:eastAsia="仿宋_GB2312" w:cs="仿宋_GB2312"/>
          <w:sz w:val="32"/>
          <w:szCs w:val="32"/>
          <w:lang w:val="zh-TW"/>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zh-TW"/>
        </w:rPr>
        <w:t>项目周期：202</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TW"/>
        </w:rPr>
        <w:t>年11月底前完成。</w:t>
      </w:r>
    </w:p>
    <w:p>
      <w:pPr>
        <w:spacing w:line="560" w:lineRule="exact"/>
        <w:ind w:firstLine="627" w:firstLineChars="196"/>
        <w:rPr>
          <w:rFonts w:ascii="仿宋_GB2312" w:hAnsi="仿宋_GB2312" w:eastAsia="仿宋_GB2312" w:cs="仿宋_GB2312"/>
          <w:bCs/>
          <w:sz w:val="32"/>
          <w:szCs w:val="32"/>
          <w:lang w:eastAsia="zh-TW"/>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altName w:val="方正舒体"/>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EDA12"/>
    <w:multiLevelType w:val="singleLevel"/>
    <w:tmpl w:val="3F7EDA1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ZmNGZhZTEyNGIzYTE3M2Q3MDVhZmRmNzk5YTMyZDEifQ=="/>
  </w:docVars>
  <w:rsids>
    <w:rsidRoot w:val="00F14C78"/>
    <w:rsid w:val="000075F8"/>
    <w:rsid w:val="0001343E"/>
    <w:rsid w:val="00014F4C"/>
    <w:rsid w:val="00020283"/>
    <w:rsid w:val="0002348A"/>
    <w:rsid w:val="00026AA2"/>
    <w:rsid w:val="000308EB"/>
    <w:rsid w:val="00047D70"/>
    <w:rsid w:val="000501EE"/>
    <w:rsid w:val="0005417A"/>
    <w:rsid w:val="000570D5"/>
    <w:rsid w:val="00065C9E"/>
    <w:rsid w:val="00086D51"/>
    <w:rsid w:val="000870DC"/>
    <w:rsid w:val="000A57E8"/>
    <w:rsid w:val="000C054C"/>
    <w:rsid w:val="000C1293"/>
    <w:rsid w:val="000C3396"/>
    <w:rsid w:val="000D4CFA"/>
    <w:rsid w:val="000D7342"/>
    <w:rsid w:val="000E1F10"/>
    <w:rsid w:val="000E21DD"/>
    <w:rsid w:val="000E46B0"/>
    <w:rsid w:val="000F016D"/>
    <w:rsid w:val="0010204B"/>
    <w:rsid w:val="00107DD4"/>
    <w:rsid w:val="00113DC4"/>
    <w:rsid w:val="0012004A"/>
    <w:rsid w:val="00120218"/>
    <w:rsid w:val="0012720F"/>
    <w:rsid w:val="00131B3F"/>
    <w:rsid w:val="0013296F"/>
    <w:rsid w:val="00134C13"/>
    <w:rsid w:val="00137195"/>
    <w:rsid w:val="00155995"/>
    <w:rsid w:val="00156A07"/>
    <w:rsid w:val="00170407"/>
    <w:rsid w:val="0017611D"/>
    <w:rsid w:val="00181E1C"/>
    <w:rsid w:val="00185218"/>
    <w:rsid w:val="00186D68"/>
    <w:rsid w:val="001A0054"/>
    <w:rsid w:val="001A1FED"/>
    <w:rsid w:val="001A6690"/>
    <w:rsid w:val="001B45CA"/>
    <w:rsid w:val="001B4C2D"/>
    <w:rsid w:val="001C2057"/>
    <w:rsid w:val="001C4E56"/>
    <w:rsid w:val="001D4AC8"/>
    <w:rsid w:val="001E57A8"/>
    <w:rsid w:val="001E77B3"/>
    <w:rsid w:val="001F4ED1"/>
    <w:rsid w:val="00203F66"/>
    <w:rsid w:val="00211C1B"/>
    <w:rsid w:val="002200E8"/>
    <w:rsid w:val="002506D7"/>
    <w:rsid w:val="00251288"/>
    <w:rsid w:val="00251718"/>
    <w:rsid w:val="002626B5"/>
    <w:rsid w:val="00266E22"/>
    <w:rsid w:val="002702F5"/>
    <w:rsid w:val="0027515C"/>
    <w:rsid w:val="00296AD3"/>
    <w:rsid w:val="002A7A9F"/>
    <w:rsid w:val="002D6C42"/>
    <w:rsid w:val="002D7471"/>
    <w:rsid w:val="002D787E"/>
    <w:rsid w:val="002E0230"/>
    <w:rsid w:val="002E6994"/>
    <w:rsid w:val="002F5DCC"/>
    <w:rsid w:val="003023CE"/>
    <w:rsid w:val="00302C99"/>
    <w:rsid w:val="003042F0"/>
    <w:rsid w:val="00314D7D"/>
    <w:rsid w:val="00315D72"/>
    <w:rsid w:val="00320EC7"/>
    <w:rsid w:val="003403CF"/>
    <w:rsid w:val="00342AE0"/>
    <w:rsid w:val="00345DF5"/>
    <w:rsid w:val="0034765A"/>
    <w:rsid w:val="0035116A"/>
    <w:rsid w:val="00354DC7"/>
    <w:rsid w:val="00361910"/>
    <w:rsid w:val="00364E7C"/>
    <w:rsid w:val="00372440"/>
    <w:rsid w:val="00375369"/>
    <w:rsid w:val="0038476D"/>
    <w:rsid w:val="0038687D"/>
    <w:rsid w:val="00387371"/>
    <w:rsid w:val="00390058"/>
    <w:rsid w:val="00390CE4"/>
    <w:rsid w:val="003A35C5"/>
    <w:rsid w:val="003A40AD"/>
    <w:rsid w:val="003B0053"/>
    <w:rsid w:val="003B09E4"/>
    <w:rsid w:val="003B61C2"/>
    <w:rsid w:val="003C1A5E"/>
    <w:rsid w:val="003C1F65"/>
    <w:rsid w:val="003C5F62"/>
    <w:rsid w:val="003D31ED"/>
    <w:rsid w:val="003D3A48"/>
    <w:rsid w:val="003D68EE"/>
    <w:rsid w:val="003D7A25"/>
    <w:rsid w:val="003E0E25"/>
    <w:rsid w:val="003E39C3"/>
    <w:rsid w:val="003E6F89"/>
    <w:rsid w:val="003E7F70"/>
    <w:rsid w:val="003F0259"/>
    <w:rsid w:val="003F3208"/>
    <w:rsid w:val="003F32DA"/>
    <w:rsid w:val="003F3FDF"/>
    <w:rsid w:val="003F4E7B"/>
    <w:rsid w:val="00410C99"/>
    <w:rsid w:val="004223C1"/>
    <w:rsid w:val="00422B32"/>
    <w:rsid w:val="00424B70"/>
    <w:rsid w:val="00440798"/>
    <w:rsid w:val="00444CAB"/>
    <w:rsid w:val="00445CFC"/>
    <w:rsid w:val="00447F72"/>
    <w:rsid w:val="00464873"/>
    <w:rsid w:val="00464B75"/>
    <w:rsid w:val="00470124"/>
    <w:rsid w:val="004718CC"/>
    <w:rsid w:val="00471F91"/>
    <w:rsid w:val="004722CB"/>
    <w:rsid w:val="00493A50"/>
    <w:rsid w:val="004B2D32"/>
    <w:rsid w:val="004C743F"/>
    <w:rsid w:val="004D1CD4"/>
    <w:rsid w:val="004D5ED1"/>
    <w:rsid w:val="005033CB"/>
    <w:rsid w:val="0050384E"/>
    <w:rsid w:val="005042DE"/>
    <w:rsid w:val="00517BCA"/>
    <w:rsid w:val="0052099E"/>
    <w:rsid w:val="00523999"/>
    <w:rsid w:val="00525815"/>
    <w:rsid w:val="00526C8C"/>
    <w:rsid w:val="00534150"/>
    <w:rsid w:val="005411A0"/>
    <w:rsid w:val="0054429A"/>
    <w:rsid w:val="005501F7"/>
    <w:rsid w:val="00553D61"/>
    <w:rsid w:val="0055426C"/>
    <w:rsid w:val="0056433F"/>
    <w:rsid w:val="00565B06"/>
    <w:rsid w:val="00570F04"/>
    <w:rsid w:val="0057295C"/>
    <w:rsid w:val="005751F6"/>
    <w:rsid w:val="0058568F"/>
    <w:rsid w:val="00590394"/>
    <w:rsid w:val="0059356C"/>
    <w:rsid w:val="00596518"/>
    <w:rsid w:val="005A2863"/>
    <w:rsid w:val="005A4926"/>
    <w:rsid w:val="005B4658"/>
    <w:rsid w:val="005C10CD"/>
    <w:rsid w:val="005D05AF"/>
    <w:rsid w:val="005D61F0"/>
    <w:rsid w:val="005E49B3"/>
    <w:rsid w:val="005E6439"/>
    <w:rsid w:val="005E6ED0"/>
    <w:rsid w:val="005E74EE"/>
    <w:rsid w:val="005F2367"/>
    <w:rsid w:val="005F5CB2"/>
    <w:rsid w:val="0060183E"/>
    <w:rsid w:val="00605803"/>
    <w:rsid w:val="00616106"/>
    <w:rsid w:val="006203B2"/>
    <w:rsid w:val="006245A8"/>
    <w:rsid w:val="006272CD"/>
    <w:rsid w:val="00630AE3"/>
    <w:rsid w:val="00631093"/>
    <w:rsid w:val="00631A45"/>
    <w:rsid w:val="006331BA"/>
    <w:rsid w:val="006365D8"/>
    <w:rsid w:val="006541F3"/>
    <w:rsid w:val="00654A0A"/>
    <w:rsid w:val="00661F28"/>
    <w:rsid w:val="00662B0F"/>
    <w:rsid w:val="00663B1C"/>
    <w:rsid w:val="00666AAF"/>
    <w:rsid w:val="00672EE9"/>
    <w:rsid w:val="0067303D"/>
    <w:rsid w:val="0068086F"/>
    <w:rsid w:val="006847E5"/>
    <w:rsid w:val="00685C6E"/>
    <w:rsid w:val="006906A0"/>
    <w:rsid w:val="00692700"/>
    <w:rsid w:val="006A3264"/>
    <w:rsid w:val="006A7CF5"/>
    <w:rsid w:val="006B5549"/>
    <w:rsid w:val="006B5E1D"/>
    <w:rsid w:val="006C4807"/>
    <w:rsid w:val="006D3769"/>
    <w:rsid w:val="006D49A1"/>
    <w:rsid w:val="006E03BE"/>
    <w:rsid w:val="006E4F94"/>
    <w:rsid w:val="006F3ED2"/>
    <w:rsid w:val="006F47F6"/>
    <w:rsid w:val="006F5318"/>
    <w:rsid w:val="006F7734"/>
    <w:rsid w:val="00700328"/>
    <w:rsid w:val="007022FB"/>
    <w:rsid w:val="00710322"/>
    <w:rsid w:val="00723AD9"/>
    <w:rsid w:val="00730B56"/>
    <w:rsid w:val="00740545"/>
    <w:rsid w:val="00755CA0"/>
    <w:rsid w:val="0076129E"/>
    <w:rsid w:val="0076378B"/>
    <w:rsid w:val="007704F9"/>
    <w:rsid w:val="007721E0"/>
    <w:rsid w:val="00791693"/>
    <w:rsid w:val="0079495B"/>
    <w:rsid w:val="00795FE0"/>
    <w:rsid w:val="007A2710"/>
    <w:rsid w:val="007A74A6"/>
    <w:rsid w:val="007B2E4A"/>
    <w:rsid w:val="007B3F87"/>
    <w:rsid w:val="007B42B9"/>
    <w:rsid w:val="007B7885"/>
    <w:rsid w:val="007C0BB2"/>
    <w:rsid w:val="007C3EFA"/>
    <w:rsid w:val="007C5BDA"/>
    <w:rsid w:val="007D7475"/>
    <w:rsid w:val="007E5756"/>
    <w:rsid w:val="007F1FBF"/>
    <w:rsid w:val="007F48AB"/>
    <w:rsid w:val="00802055"/>
    <w:rsid w:val="00802B68"/>
    <w:rsid w:val="00807134"/>
    <w:rsid w:val="00812F17"/>
    <w:rsid w:val="008135AC"/>
    <w:rsid w:val="008157B1"/>
    <w:rsid w:val="00821817"/>
    <w:rsid w:val="00831A58"/>
    <w:rsid w:val="00831A9E"/>
    <w:rsid w:val="0083356B"/>
    <w:rsid w:val="00843AD5"/>
    <w:rsid w:val="008446CD"/>
    <w:rsid w:val="00845FFB"/>
    <w:rsid w:val="008465A2"/>
    <w:rsid w:val="008474BC"/>
    <w:rsid w:val="008565B7"/>
    <w:rsid w:val="008624B3"/>
    <w:rsid w:val="00870F5A"/>
    <w:rsid w:val="0087322D"/>
    <w:rsid w:val="00874D37"/>
    <w:rsid w:val="00877BE1"/>
    <w:rsid w:val="00887C23"/>
    <w:rsid w:val="00895E12"/>
    <w:rsid w:val="008A21D3"/>
    <w:rsid w:val="008B1D18"/>
    <w:rsid w:val="008C4D69"/>
    <w:rsid w:val="008C66E1"/>
    <w:rsid w:val="008D0CBE"/>
    <w:rsid w:val="008D1E5C"/>
    <w:rsid w:val="008D4A71"/>
    <w:rsid w:val="008E7B36"/>
    <w:rsid w:val="008F0102"/>
    <w:rsid w:val="008F0432"/>
    <w:rsid w:val="008F1EAC"/>
    <w:rsid w:val="008F647C"/>
    <w:rsid w:val="00900847"/>
    <w:rsid w:val="00912F35"/>
    <w:rsid w:val="009151F0"/>
    <w:rsid w:val="009208DA"/>
    <w:rsid w:val="0092189C"/>
    <w:rsid w:val="0093267E"/>
    <w:rsid w:val="00935994"/>
    <w:rsid w:val="00936D0F"/>
    <w:rsid w:val="0094752B"/>
    <w:rsid w:val="0095270B"/>
    <w:rsid w:val="00953703"/>
    <w:rsid w:val="00960C1D"/>
    <w:rsid w:val="009613FE"/>
    <w:rsid w:val="009653B6"/>
    <w:rsid w:val="009673EC"/>
    <w:rsid w:val="00972C78"/>
    <w:rsid w:val="00984297"/>
    <w:rsid w:val="009869C2"/>
    <w:rsid w:val="00991393"/>
    <w:rsid w:val="00991B46"/>
    <w:rsid w:val="00996A09"/>
    <w:rsid w:val="00996BC1"/>
    <w:rsid w:val="00996BD6"/>
    <w:rsid w:val="0099774A"/>
    <w:rsid w:val="009B4CB4"/>
    <w:rsid w:val="009C20B3"/>
    <w:rsid w:val="009E0A82"/>
    <w:rsid w:val="009E2838"/>
    <w:rsid w:val="009E6864"/>
    <w:rsid w:val="009E6899"/>
    <w:rsid w:val="009F44BA"/>
    <w:rsid w:val="00A0000D"/>
    <w:rsid w:val="00A02032"/>
    <w:rsid w:val="00A10E26"/>
    <w:rsid w:val="00A1133E"/>
    <w:rsid w:val="00A21F2B"/>
    <w:rsid w:val="00A2586F"/>
    <w:rsid w:val="00A26E9D"/>
    <w:rsid w:val="00A27DE7"/>
    <w:rsid w:val="00A307BE"/>
    <w:rsid w:val="00A34253"/>
    <w:rsid w:val="00A37BFE"/>
    <w:rsid w:val="00A41CC7"/>
    <w:rsid w:val="00A43A40"/>
    <w:rsid w:val="00A6523A"/>
    <w:rsid w:val="00A66D47"/>
    <w:rsid w:val="00A81392"/>
    <w:rsid w:val="00A857AC"/>
    <w:rsid w:val="00A907AC"/>
    <w:rsid w:val="00AA5487"/>
    <w:rsid w:val="00AB3D51"/>
    <w:rsid w:val="00AB4F3D"/>
    <w:rsid w:val="00AB7346"/>
    <w:rsid w:val="00AB74C0"/>
    <w:rsid w:val="00AD0572"/>
    <w:rsid w:val="00AD4FDE"/>
    <w:rsid w:val="00AD51DB"/>
    <w:rsid w:val="00AE43AF"/>
    <w:rsid w:val="00AE7E63"/>
    <w:rsid w:val="00AF74B1"/>
    <w:rsid w:val="00B008F7"/>
    <w:rsid w:val="00B0199F"/>
    <w:rsid w:val="00B02B84"/>
    <w:rsid w:val="00B04590"/>
    <w:rsid w:val="00B1099B"/>
    <w:rsid w:val="00B11F67"/>
    <w:rsid w:val="00B128D4"/>
    <w:rsid w:val="00B13CF2"/>
    <w:rsid w:val="00B232E4"/>
    <w:rsid w:val="00B264A2"/>
    <w:rsid w:val="00B32178"/>
    <w:rsid w:val="00B3265E"/>
    <w:rsid w:val="00B343F3"/>
    <w:rsid w:val="00B34B66"/>
    <w:rsid w:val="00B4403F"/>
    <w:rsid w:val="00B44581"/>
    <w:rsid w:val="00B4656E"/>
    <w:rsid w:val="00B52B69"/>
    <w:rsid w:val="00B546AA"/>
    <w:rsid w:val="00B57251"/>
    <w:rsid w:val="00B57B48"/>
    <w:rsid w:val="00B70F64"/>
    <w:rsid w:val="00B726D7"/>
    <w:rsid w:val="00B72922"/>
    <w:rsid w:val="00B74CCF"/>
    <w:rsid w:val="00B77528"/>
    <w:rsid w:val="00B82D79"/>
    <w:rsid w:val="00B83839"/>
    <w:rsid w:val="00B84E8A"/>
    <w:rsid w:val="00BB555F"/>
    <w:rsid w:val="00BB5DBE"/>
    <w:rsid w:val="00BC2368"/>
    <w:rsid w:val="00BC2749"/>
    <w:rsid w:val="00BC28C6"/>
    <w:rsid w:val="00BC430F"/>
    <w:rsid w:val="00BD160B"/>
    <w:rsid w:val="00BD2648"/>
    <w:rsid w:val="00BD2807"/>
    <w:rsid w:val="00C03D11"/>
    <w:rsid w:val="00C04277"/>
    <w:rsid w:val="00C06D6C"/>
    <w:rsid w:val="00C10DA0"/>
    <w:rsid w:val="00C13073"/>
    <w:rsid w:val="00C13D45"/>
    <w:rsid w:val="00C147C0"/>
    <w:rsid w:val="00C20218"/>
    <w:rsid w:val="00C211C1"/>
    <w:rsid w:val="00C25313"/>
    <w:rsid w:val="00C3080D"/>
    <w:rsid w:val="00C3281A"/>
    <w:rsid w:val="00C333C6"/>
    <w:rsid w:val="00C33E53"/>
    <w:rsid w:val="00C35D42"/>
    <w:rsid w:val="00C4131D"/>
    <w:rsid w:val="00C42302"/>
    <w:rsid w:val="00C56D5A"/>
    <w:rsid w:val="00C576F4"/>
    <w:rsid w:val="00C609AE"/>
    <w:rsid w:val="00C6210E"/>
    <w:rsid w:val="00C62968"/>
    <w:rsid w:val="00C64DE4"/>
    <w:rsid w:val="00C67F46"/>
    <w:rsid w:val="00C7653D"/>
    <w:rsid w:val="00C848D2"/>
    <w:rsid w:val="00C84D16"/>
    <w:rsid w:val="00C8612E"/>
    <w:rsid w:val="00C931FC"/>
    <w:rsid w:val="00C9716D"/>
    <w:rsid w:val="00CA7493"/>
    <w:rsid w:val="00CB12D8"/>
    <w:rsid w:val="00CB219F"/>
    <w:rsid w:val="00CB35A8"/>
    <w:rsid w:val="00CB6597"/>
    <w:rsid w:val="00CB6D39"/>
    <w:rsid w:val="00CD168B"/>
    <w:rsid w:val="00CD58F3"/>
    <w:rsid w:val="00CE1169"/>
    <w:rsid w:val="00CE15AB"/>
    <w:rsid w:val="00CE40C1"/>
    <w:rsid w:val="00CF440D"/>
    <w:rsid w:val="00D011B0"/>
    <w:rsid w:val="00D043DD"/>
    <w:rsid w:val="00D06920"/>
    <w:rsid w:val="00D07DBC"/>
    <w:rsid w:val="00D16F5B"/>
    <w:rsid w:val="00D17BE3"/>
    <w:rsid w:val="00D22A8F"/>
    <w:rsid w:val="00D23DE9"/>
    <w:rsid w:val="00D2620F"/>
    <w:rsid w:val="00D2777B"/>
    <w:rsid w:val="00D3041A"/>
    <w:rsid w:val="00D31FB9"/>
    <w:rsid w:val="00D35129"/>
    <w:rsid w:val="00D524E2"/>
    <w:rsid w:val="00D550FF"/>
    <w:rsid w:val="00D820EA"/>
    <w:rsid w:val="00DB77DA"/>
    <w:rsid w:val="00DC0973"/>
    <w:rsid w:val="00DC2D59"/>
    <w:rsid w:val="00DC35D3"/>
    <w:rsid w:val="00DC3899"/>
    <w:rsid w:val="00DD047D"/>
    <w:rsid w:val="00DD0526"/>
    <w:rsid w:val="00DD494C"/>
    <w:rsid w:val="00DD7DE6"/>
    <w:rsid w:val="00DE69EF"/>
    <w:rsid w:val="00DE6D52"/>
    <w:rsid w:val="00E00ACE"/>
    <w:rsid w:val="00E059C3"/>
    <w:rsid w:val="00E05FFA"/>
    <w:rsid w:val="00E21F6E"/>
    <w:rsid w:val="00E22BF6"/>
    <w:rsid w:val="00E25980"/>
    <w:rsid w:val="00E273B2"/>
    <w:rsid w:val="00E364B3"/>
    <w:rsid w:val="00E45026"/>
    <w:rsid w:val="00E5164B"/>
    <w:rsid w:val="00E6543F"/>
    <w:rsid w:val="00E6605B"/>
    <w:rsid w:val="00E66C23"/>
    <w:rsid w:val="00E676E7"/>
    <w:rsid w:val="00E7092B"/>
    <w:rsid w:val="00E77552"/>
    <w:rsid w:val="00E77D87"/>
    <w:rsid w:val="00E82E36"/>
    <w:rsid w:val="00E8422D"/>
    <w:rsid w:val="00E85A9F"/>
    <w:rsid w:val="00E902D2"/>
    <w:rsid w:val="00E92C0D"/>
    <w:rsid w:val="00E95675"/>
    <w:rsid w:val="00EA06C7"/>
    <w:rsid w:val="00EB167B"/>
    <w:rsid w:val="00EB2346"/>
    <w:rsid w:val="00EB72E3"/>
    <w:rsid w:val="00EC1D8C"/>
    <w:rsid w:val="00EC226A"/>
    <w:rsid w:val="00EE06C6"/>
    <w:rsid w:val="00EE75CC"/>
    <w:rsid w:val="00EF7927"/>
    <w:rsid w:val="00F00B75"/>
    <w:rsid w:val="00F022F2"/>
    <w:rsid w:val="00F14278"/>
    <w:rsid w:val="00F14C78"/>
    <w:rsid w:val="00F33212"/>
    <w:rsid w:val="00F3796C"/>
    <w:rsid w:val="00F46190"/>
    <w:rsid w:val="00F53397"/>
    <w:rsid w:val="00F5464B"/>
    <w:rsid w:val="00F565F2"/>
    <w:rsid w:val="00F609AA"/>
    <w:rsid w:val="00F61AE1"/>
    <w:rsid w:val="00F62046"/>
    <w:rsid w:val="00F64014"/>
    <w:rsid w:val="00F70243"/>
    <w:rsid w:val="00F70DB2"/>
    <w:rsid w:val="00F71540"/>
    <w:rsid w:val="00F74A2A"/>
    <w:rsid w:val="00F814C4"/>
    <w:rsid w:val="00F825EC"/>
    <w:rsid w:val="00F83D7B"/>
    <w:rsid w:val="00F8694C"/>
    <w:rsid w:val="00F92D75"/>
    <w:rsid w:val="00F93267"/>
    <w:rsid w:val="00F93DBC"/>
    <w:rsid w:val="00FA13E2"/>
    <w:rsid w:val="00FA1D4D"/>
    <w:rsid w:val="00FB015C"/>
    <w:rsid w:val="00FB4925"/>
    <w:rsid w:val="00FB54C8"/>
    <w:rsid w:val="00FE1C51"/>
    <w:rsid w:val="00FE1E35"/>
    <w:rsid w:val="00FE3CED"/>
    <w:rsid w:val="00FE457D"/>
    <w:rsid w:val="00FE6AA3"/>
    <w:rsid w:val="00FE77D4"/>
    <w:rsid w:val="00FE7E29"/>
    <w:rsid w:val="00FF36A3"/>
    <w:rsid w:val="0F6E99CC"/>
    <w:rsid w:val="0F779802"/>
    <w:rsid w:val="19FC19B1"/>
    <w:rsid w:val="1FCEF940"/>
    <w:rsid w:val="2FCD819A"/>
    <w:rsid w:val="2FEEA1D1"/>
    <w:rsid w:val="33EBADB5"/>
    <w:rsid w:val="377FC868"/>
    <w:rsid w:val="38F671F8"/>
    <w:rsid w:val="3D9FE4B4"/>
    <w:rsid w:val="3E9715B8"/>
    <w:rsid w:val="3EAFF8E2"/>
    <w:rsid w:val="3EBF6615"/>
    <w:rsid w:val="3EFB41F2"/>
    <w:rsid w:val="3FBE821A"/>
    <w:rsid w:val="3FFDC30B"/>
    <w:rsid w:val="43F50CAC"/>
    <w:rsid w:val="497DE4F4"/>
    <w:rsid w:val="5DEFB68B"/>
    <w:rsid w:val="5FD76275"/>
    <w:rsid w:val="5FE4460E"/>
    <w:rsid w:val="5FFE2C7F"/>
    <w:rsid w:val="69C726D1"/>
    <w:rsid w:val="6BFB8773"/>
    <w:rsid w:val="6FBF02B4"/>
    <w:rsid w:val="71FE77A8"/>
    <w:rsid w:val="74F97B08"/>
    <w:rsid w:val="776942BD"/>
    <w:rsid w:val="77B31EBC"/>
    <w:rsid w:val="77BA5704"/>
    <w:rsid w:val="7AEC944A"/>
    <w:rsid w:val="7BB2642B"/>
    <w:rsid w:val="7BDB5628"/>
    <w:rsid w:val="7D7EAE8B"/>
    <w:rsid w:val="7DDD6EBC"/>
    <w:rsid w:val="7E473B50"/>
    <w:rsid w:val="7E7D25A4"/>
    <w:rsid w:val="7EBB4A2C"/>
    <w:rsid w:val="7F3E9ED4"/>
    <w:rsid w:val="7F7463D8"/>
    <w:rsid w:val="7FCF1F29"/>
    <w:rsid w:val="7FF3E2D0"/>
    <w:rsid w:val="7FFD08C1"/>
    <w:rsid w:val="7FFF3F75"/>
    <w:rsid w:val="7FFFCD1D"/>
    <w:rsid w:val="9E66B3AD"/>
    <w:rsid w:val="AADB2E43"/>
    <w:rsid w:val="AFF7E104"/>
    <w:rsid w:val="BF5FB68D"/>
    <w:rsid w:val="CFEBA4AA"/>
    <w:rsid w:val="DCA3AB6C"/>
    <w:rsid w:val="DD9FB91C"/>
    <w:rsid w:val="DEA7A846"/>
    <w:rsid w:val="DFBF2498"/>
    <w:rsid w:val="DFBF9DE1"/>
    <w:rsid w:val="DFCBF6CB"/>
    <w:rsid w:val="DFF66FE5"/>
    <w:rsid w:val="DFFFA6C1"/>
    <w:rsid w:val="E3BCC9E5"/>
    <w:rsid w:val="E4FBB9B9"/>
    <w:rsid w:val="E7D72FF5"/>
    <w:rsid w:val="EB7E5B05"/>
    <w:rsid w:val="EF947EEC"/>
    <w:rsid w:val="EF9E8F26"/>
    <w:rsid w:val="EFFE0862"/>
    <w:rsid w:val="EFFFBFFD"/>
    <w:rsid w:val="F1D1AAE1"/>
    <w:rsid w:val="F7FFFFBC"/>
    <w:rsid w:val="F9E6A9E3"/>
    <w:rsid w:val="FA76B090"/>
    <w:rsid w:val="FBEF3AB2"/>
    <w:rsid w:val="FD4578C4"/>
    <w:rsid w:val="FDFD345D"/>
    <w:rsid w:val="FEFB7ABF"/>
    <w:rsid w:val="FF7FAF56"/>
    <w:rsid w:val="FF7FC742"/>
    <w:rsid w:val="FFAF442A"/>
    <w:rsid w:val="FFBB58BA"/>
    <w:rsid w:val="FFE8F7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firstLineChars="200"/>
    </w:pPr>
    <w:rPr>
      <w:rFonts w:cs="宋体"/>
      <w:szCs w:val="24"/>
    </w:rPr>
  </w:style>
  <w:style w:type="paragraph" w:styleId="3">
    <w:name w:val="Date"/>
    <w:basedOn w:val="1"/>
    <w:next w:val="1"/>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semiHidden/>
    <w:unhideWhenUsed/>
    <w:qFormat/>
    <w:uiPriority w:val="99"/>
    <w:rPr>
      <w:color w:val="0000FF"/>
      <w:u w:val="single"/>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paragraph" w:styleId="12">
    <w:name w:val="List Paragraph"/>
    <w:basedOn w:val="1"/>
    <w:qFormat/>
    <w:uiPriority w:val="34"/>
    <w:pPr>
      <w:ind w:firstLine="420" w:firstLineChars="200"/>
    </w:pPr>
  </w:style>
  <w:style w:type="table" w:customStyle="1" w:styleId="13">
    <w:name w:val="Table Normal"/>
    <w:qFormat/>
    <w:uiPriority w:val="0"/>
    <w:rPr>
      <w:rFonts w:eastAsia="Arial Unicode MS"/>
    </w:rPr>
    <w:tblPr>
      <w:tblCellMar>
        <w:top w:w="0" w:type="dxa"/>
        <w:left w:w="0" w:type="dxa"/>
        <w:bottom w:w="0" w:type="dxa"/>
        <w:right w:w="0" w:type="dxa"/>
      </w:tblCellMar>
    </w:tblPr>
  </w:style>
  <w:style w:type="paragraph" w:customStyle="1" w:styleId="14">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7</Pages>
  <Words>2606</Words>
  <Characters>2727</Characters>
  <Lines>24</Lines>
  <Paragraphs>6</Paragraphs>
  <TotalTime>22</TotalTime>
  <ScaleCrop>false</ScaleCrop>
  <LinksUpToDate>false</LinksUpToDate>
  <CharactersWithSpaces>2728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2018-10-30T17:01:00Z</dcterms:created>
  <dc:creator>Windows 用户</dc:creator>
  <cp:lastModifiedBy>WPS_1456125110</cp:lastModifiedBy>
  <cp:lastPrinted>2023-01-18T18:49:00Z</cp:lastPrinted>
  <dcterms:modified xsi:type="dcterms:W3CDTF">2023-02-01T06:13:30Z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0EACCAC1583D4F88BFD5FADC6880E817</vt:lpwstr>
  </property>
</Properties>
</file>