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napToGrid w:val="0"/>
        <w:spacing w:line="540" w:lineRule="exact"/>
        <w:jc w:val="center"/>
        <w:outlineLvl w:val="0"/>
        <w:rPr>
          <w:rFonts w:hint="default" w:ascii="方正小标宋_GBK" w:hAnsi="宋体" w:eastAsia="方正小标宋_GBK" w:cs="宋体"/>
          <w:sz w:val="44"/>
          <w:szCs w:val="44"/>
        </w:rPr>
      </w:pPr>
      <w:bookmarkStart w:id="2" w:name="_GoBack"/>
      <w:bookmarkEnd w:id="2"/>
      <w:bookmarkStart w:id="0" w:name="OLE_LINK2"/>
      <w:bookmarkStart w:id="1" w:name="OLE_LINK1"/>
      <w:r>
        <w:rPr>
          <w:rFonts w:ascii="方正小标宋_GBK" w:hAnsi="宋体" w:eastAsia="方正小标宋_GBK" w:cs="宋体"/>
          <w:sz w:val="44"/>
          <w:szCs w:val="44"/>
        </w:rPr>
        <w:t>北京市中小企业公共服务示范平台管理办法</w:t>
      </w:r>
    </w:p>
    <w:bookmarkEnd w:id="0"/>
    <w:bookmarkEnd w:id="1"/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</w:p>
    <w:p>
      <w:pPr>
        <w:pStyle w:val="4"/>
        <w:widowControl/>
        <w:snapToGrid w:val="0"/>
        <w:spacing w:line="540" w:lineRule="exact"/>
        <w:jc w:val="center"/>
        <w:outlineLvl w:val="1"/>
        <w:rPr>
          <w:rFonts w:hint="default" w:ascii="黑体" w:hAnsi="宋体" w:eastAsia="黑体" w:cs="宋体"/>
          <w:sz w:val="32"/>
          <w:szCs w:val="32"/>
        </w:rPr>
      </w:pPr>
      <w:r>
        <w:rPr>
          <w:rFonts w:ascii="黑体" w:hAnsi="宋体" w:eastAsia="黑体" w:cs="宋体"/>
          <w:sz w:val="32"/>
          <w:szCs w:val="32"/>
        </w:rPr>
        <w:t>第一章  总　则</w:t>
      </w:r>
    </w:p>
    <w:p>
      <w:pPr>
        <w:spacing w:line="540" w:lineRule="exact"/>
        <w:ind w:firstLine="640" w:firstLineChars="200"/>
        <w:outlineLvl w:val="2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第一条 为落实《北京市促进中小企业发展条例》有关要求，加快推进中小企业公共服务体系建设，培育一批管理规范、特色鲜明、专业化服务水平高的中小企业公共服务示范平台，促进我市中小企业高质量发展，根据有关文件规定，制定本办法。</w:t>
      </w:r>
    </w:p>
    <w:p>
      <w:pPr>
        <w:pStyle w:val="4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第二条 北京市中小企业公共服务示范平台(以下简称“示范平台”)一般是指由法人单位建设和运营，经北京市经济和信息化局(以下简称“市经济和信息化局”)认定，具有服务开放、资源共享等特征，为中小微企业提供综合咨询、创业辅导、技术创新、数字化应用、人力资源、融资促进等专业服务，业绩突出、公信度高、服务面广，具有示范带动作用的服务机构。</w:t>
      </w:r>
    </w:p>
    <w:p>
      <w:pPr>
        <w:pStyle w:val="4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第三条 示范平台应具有公益性、公共性和开放性，要按照“政府引导，市场化运作，面向产业，服务企业，资源共享，注重实效”的原则运作，不断创新服务模式，提高服务质量，积极组织带动社会服务资源为中小企业发展做好服务。</w:t>
      </w:r>
    </w:p>
    <w:p>
      <w:pPr>
        <w:pStyle w:val="4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第四条 市经济和信息化局负责示范平台的认定、管理和绩效评价工作。</w:t>
      </w:r>
    </w:p>
    <w:p>
      <w:pPr>
        <w:pStyle w:val="4"/>
        <w:spacing w:line="540" w:lineRule="exact"/>
        <w:ind w:firstLine="640" w:firstLineChars="200"/>
        <w:outlineLvl w:val="2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第五条</w:t>
      </w:r>
      <w:r>
        <w:rPr>
          <w:rFonts w:hint="default" w:ascii="仿宋_GB2312" w:hAnsi="宋体" w:eastAsia="仿宋_GB2312" w:cs="宋体"/>
          <w:sz w:val="32"/>
          <w:szCs w:val="32"/>
        </w:rPr>
        <w:t xml:space="preserve"> </w:t>
      </w:r>
      <w:r>
        <w:rPr>
          <w:rFonts w:ascii="仿宋_GB2312" w:hAnsi="宋体" w:eastAsia="仿宋_GB2312" w:cs="宋体"/>
          <w:sz w:val="32"/>
          <w:szCs w:val="32"/>
        </w:rPr>
        <w:t>示范平台的申报认定和绩效评价工作遵循公平、公开、公正的原则，原则上每年进行一次。</w:t>
      </w:r>
    </w:p>
    <w:p>
      <w:pPr>
        <w:pStyle w:val="4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</w:p>
    <w:p>
      <w:pPr>
        <w:widowControl/>
        <w:jc w:val="left"/>
        <w:rPr>
          <w:rFonts w:hint="eastAsia"/>
          <w:sz w:val="20"/>
          <w:szCs w:val="20"/>
        </w:rPr>
      </w:pPr>
    </w:p>
    <w:p>
      <w:pPr>
        <w:pStyle w:val="4"/>
        <w:widowControl/>
        <w:snapToGrid w:val="0"/>
        <w:spacing w:line="540" w:lineRule="exact"/>
        <w:jc w:val="center"/>
        <w:outlineLvl w:val="1"/>
        <w:rPr>
          <w:rFonts w:hint="default" w:ascii="黑体" w:hAnsi="宋体" w:eastAsia="黑体" w:cs="宋体"/>
          <w:sz w:val="32"/>
          <w:szCs w:val="32"/>
        </w:rPr>
      </w:pPr>
      <w:r>
        <w:rPr>
          <w:rFonts w:ascii="黑体" w:hAnsi="宋体" w:eastAsia="黑体" w:cs="宋体"/>
          <w:sz w:val="32"/>
          <w:szCs w:val="32"/>
        </w:rPr>
        <w:t>第二章　申报条件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第六条 示范平台必须同时具备以下基本条件：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（一）一般应具有独立法人资格，注册在本市且成立时间两年以上，资产总额不低于人民币</w:t>
      </w:r>
      <w:r>
        <w:rPr>
          <w:rFonts w:hint="default" w:ascii="仿宋_GB2312" w:hAnsi="宋体" w:eastAsia="仿宋_GB2312" w:cs="宋体"/>
          <w:sz w:val="32"/>
          <w:szCs w:val="32"/>
        </w:rPr>
        <w:t>3</w:t>
      </w:r>
      <w:r>
        <w:rPr>
          <w:rFonts w:ascii="仿宋_GB2312" w:hAnsi="宋体" w:eastAsia="仿宋_GB2312" w:cs="宋体"/>
          <w:sz w:val="32"/>
          <w:szCs w:val="32"/>
        </w:rPr>
        <w:t>00万元。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（二）经营状况良好，具有较好的发展前景；单位或法定代表人诚信守法，</w:t>
      </w:r>
      <w:r>
        <w:rPr>
          <w:rFonts w:hint="default" w:ascii="仿宋_GB2312" w:hAnsi="宋体" w:eastAsia="仿宋_GB2312" w:cs="宋体"/>
          <w:sz w:val="32"/>
          <w:szCs w:val="32"/>
        </w:rPr>
        <w:t>在申请受理截止日期前</w:t>
      </w:r>
      <w:r>
        <w:rPr>
          <w:rFonts w:ascii="仿宋_GB2312" w:hAnsi="宋体" w:eastAsia="仿宋_GB2312" w:cs="宋体"/>
          <w:sz w:val="32"/>
          <w:szCs w:val="32"/>
        </w:rPr>
        <w:t>两年</w:t>
      </w:r>
      <w:r>
        <w:rPr>
          <w:rFonts w:hint="default" w:ascii="仿宋_GB2312" w:hAnsi="宋体" w:eastAsia="仿宋_GB2312" w:cs="宋体"/>
          <w:sz w:val="32"/>
          <w:szCs w:val="32"/>
        </w:rPr>
        <w:t>内，</w:t>
      </w:r>
      <w:r>
        <w:rPr>
          <w:rFonts w:ascii="仿宋_GB2312" w:hAnsi="宋体" w:eastAsia="仿宋_GB2312" w:cs="宋体"/>
          <w:sz w:val="32"/>
          <w:szCs w:val="32"/>
        </w:rPr>
        <w:t>未受到</w:t>
      </w:r>
      <w:r>
        <w:rPr>
          <w:rFonts w:hint="default" w:ascii="仿宋_GB2312" w:hAnsi="宋体" w:eastAsia="仿宋_GB2312" w:cs="宋体"/>
          <w:sz w:val="32"/>
          <w:szCs w:val="32"/>
        </w:rPr>
        <w:t>刑事</w:t>
      </w:r>
      <w:r>
        <w:rPr>
          <w:rFonts w:ascii="仿宋_GB2312" w:hAnsi="宋体" w:eastAsia="仿宋_GB2312" w:cs="宋体"/>
          <w:sz w:val="32"/>
          <w:szCs w:val="32"/>
        </w:rPr>
        <w:t>及严重</w:t>
      </w:r>
      <w:r>
        <w:rPr>
          <w:rFonts w:hint="default" w:ascii="仿宋_GB2312" w:hAnsi="宋体" w:eastAsia="仿宋_GB2312" w:cs="宋体"/>
          <w:sz w:val="32"/>
          <w:szCs w:val="32"/>
        </w:rPr>
        <w:t>行政处罚</w:t>
      </w:r>
      <w:r>
        <w:rPr>
          <w:rFonts w:ascii="仿宋_GB2312" w:hAnsi="宋体" w:eastAsia="仿宋_GB2312" w:cs="宋体"/>
          <w:sz w:val="32"/>
          <w:szCs w:val="32"/>
        </w:rPr>
        <w:t>，无</w:t>
      </w:r>
      <w:r>
        <w:rPr>
          <w:rFonts w:hint="default" w:ascii="仿宋_GB2312" w:hAnsi="宋体" w:eastAsia="仿宋_GB2312" w:cs="宋体"/>
          <w:sz w:val="32"/>
          <w:szCs w:val="32"/>
        </w:rPr>
        <w:t>司法、行政机关认定的严重失信行为</w:t>
      </w:r>
      <w:r>
        <w:rPr>
          <w:rFonts w:ascii="仿宋_GB2312" w:hAnsi="宋体" w:eastAsia="仿宋_GB2312" w:cs="宋体"/>
          <w:sz w:val="32"/>
          <w:szCs w:val="32"/>
        </w:rPr>
        <w:t>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三）在专业服务领域或区域内有一定声誉和品牌影响力，服务中小企业的数量达到一定规模，年服务京津冀中小企业的数量原则上不少于100家。对聚焦“高精尖”产业领域在小试中试、概念验证、智能制造等生产制造环节提供服务的平台，服务企业的数量要求可适当放宽，原则上不少于5</w:t>
      </w:r>
      <w:r>
        <w:rPr>
          <w:rFonts w:hint="default" w:ascii="仿宋_GB2312" w:hAnsi="宋体" w:eastAsia="仿宋_GB2312" w:cs="宋体"/>
          <w:sz w:val="32"/>
          <w:szCs w:val="32"/>
        </w:rPr>
        <w:t>0</w:t>
      </w:r>
      <w:r>
        <w:rPr>
          <w:rFonts w:ascii="仿宋_GB2312" w:hAnsi="宋体" w:eastAsia="仿宋_GB2312" w:cs="宋体"/>
          <w:sz w:val="32"/>
          <w:szCs w:val="32"/>
        </w:rPr>
        <w:t xml:space="preserve">家。 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（四）有固定经营服务场所和必要的服务设施、仪器设备等；有组织带动社会服务资源的能力，集聚专业服务机构5家以上。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（五）具备信息化服务系统，具有信息展示、查询功能；能够综合应用互联网、云计算、大数据等技术，基本达到运营管理智能化、信息收集分析数字化。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（六）有良好的商业信誉，健全的管理制度，规范的服务流程，合理的收费标准和完善的服务质量保证措施；有明确的发展规划、年度服务目标。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（七）有健全的管理团队和人才队伍，为中小企业服务的人员中，本科及以上学历和中级及以上技术职称人员不少于8人。</w:t>
      </w:r>
      <w:r>
        <w:rPr>
          <w:rFonts w:hint="default" w:ascii="仿宋_GB2312" w:hAnsi="宋体" w:eastAsia="仿宋_GB2312" w:cs="宋体"/>
          <w:sz w:val="32"/>
          <w:szCs w:val="32"/>
        </w:rPr>
        <w:t xml:space="preserve"> 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（八）为中小企业提供服务的营业收入占比不低于5</w:t>
      </w:r>
      <w:r>
        <w:rPr>
          <w:rFonts w:hint="default" w:ascii="仿宋_GB2312" w:hAnsi="宋体" w:eastAsia="仿宋_GB2312" w:cs="宋体"/>
          <w:sz w:val="32"/>
          <w:szCs w:val="32"/>
        </w:rPr>
        <w:t>0%</w:t>
      </w:r>
      <w:r>
        <w:rPr>
          <w:rFonts w:ascii="仿宋_GB2312" w:hAnsi="宋体" w:eastAsia="仿宋_GB2312" w:cs="宋体"/>
          <w:sz w:val="32"/>
          <w:szCs w:val="32"/>
        </w:rPr>
        <w:t>，且面向中小企业提供一定的公益性免费服务。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（九）服务对象满意度不低于90%。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hint="default" w:ascii="仿宋_GB2312" w:hAnsi="宋体" w:eastAsia="仿宋_GB2312" w:cs="宋体"/>
          <w:sz w:val="32"/>
          <w:szCs w:val="32"/>
        </w:rPr>
        <w:t>由机关事业单位、社团法人主办，服务业绩突出、示范带动作用明显的平台，上述条件可适度放宽。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第七条 示范平台应至少具备以下服务功能中的一项。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（一）综合咨询服务。提供政策解读、质量标准、物流管理、商务合作、国际交流、财税金融、市场开拓、管理咨询、法务审计、产业对接等综合咨询服务及其他专业信息咨询服务。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（二）创业辅导服务。提供创业指导、创业场地、项目策划、商务代理、投融资顾问等创业服务，以及战略规划、人力资源、人才培训、工商财税、企业管理模式、商业模式创新等辅导服务。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三）技术创新服务。具有组织创新技术服务资源的能力，为中小企业开放专业仪器设备；提供工业设计、解决方案、检验检测、质量控制和技术评价、技术开发、技术转移、技术对接、知识产权、创新资源共享、技术创新成果转化及推广等服务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四）数字化应用服务。围绕研发设计、生产制造、运营管理等环节，提供系统服务、数控设备、工业互联网平台以及网站建设、软件开发、信息安全、云计算、大数据、人工智能、物联网、上云用云等数字化和智能化服务，提高企业生产经营效率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（五）人力资源服务。围绕提升企业管理水平，提供人力资源规划、咨询服务，以及人才招聘、引进输送和培训服务。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（六）融资促进服务。提供金融产品、投融资信息、融资策划、融资撮合、融资担保、上市服务、信用征集与评价等服务。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第八条 鼓励具备下列特征的平台发展: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一）立足本市企业，面向符合首都功能定位和“高精尖”产业发展方向的中小企业提供服务。产业领域包括新一代信息技术、医药健康、集成电路、智能网联汽车、智能制造与装备、绿色能源、节能环保、数字经济、区块链与先进计算、科技服务、智慧城市、信息消费等高精尖产业和未来前沿产业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（二）围绕科技型、创新型等高成长中小企业的共性或迫切需求，提供定制化、特色化和高质量的产品或服务。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（三）服务范围辐射京津冀地区，组织开展跨区域合作，能够有效整合创新和服务资源，助力京津冀产业协同发展。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</w:p>
    <w:p>
      <w:pPr>
        <w:pStyle w:val="4"/>
        <w:widowControl/>
        <w:snapToGrid w:val="0"/>
        <w:spacing w:line="540" w:lineRule="exact"/>
        <w:jc w:val="center"/>
        <w:outlineLvl w:val="1"/>
        <w:rPr>
          <w:rFonts w:hint="default" w:ascii="黑体" w:hAnsi="宋体" w:eastAsia="黑体" w:cs="宋体"/>
          <w:sz w:val="32"/>
          <w:szCs w:val="32"/>
        </w:rPr>
      </w:pPr>
      <w:r>
        <w:rPr>
          <w:rFonts w:ascii="黑体" w:hAnsi="宋体" w:eastAsia="黑体" w:cs="宋体"/>
          <w:sz w:val="32"/>
          <w:szCs w:val="32"/>
        </w:rPr>
        <w:t>第三章　申报认定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第九条 示范平台的申报认定遵循公开征集、自愿申报原则。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第十条 市经济和信息化局原则上每年发布示范平台申报通知，申请单位按通知要求提交相关申报材料。</w:t>
      </w:r>
    </w:p>
    <w:p>
      <w:pPr>
        <w:widowControl/>
        <w:snapToGrid w:val="0"/>
        <w:spacing w:line="540" w:lineRule="exact"/>
        <w:ind w:firstLine="640" w:firstLineChars="200"/>
        <w:outlineLvl w:val="2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第十一条 市经济和信息化局组织开展示范平台申请认定评价工作。</w:t>
      </w:r>
      <w:r>
        <w:rPr>
          <w:rFonts w:ascii="仿宋_GB2312" w:hAnsi="宋体" w:eastAsia="仿宋_GB2312" w:cs="宋体"/>
          <w:sz w:val="32"/>
          <w:szCs w:val="32"/>
        </w:rPr>
        <w:t>对达到认定标准的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  <w:r>
        <w:rPr>
          <w:rFonts w:ascii="仿宋_GB2312" w:hAnsi="宋体" w:eastAsia="仿宋_GB2312" w:cs="宋体"/>
          <w:sz w:val="32"/>
          <w:szCs w:val="32"/>
        </w:rPr>
        <w:t>通过</w:t>
      </w:r>
      <w:r>
        <w:rPr>
          <w:rFonts w:hint="eastAsia" w:ascii="仿宋_GB2312" w:hAnsi="宋体" w:eastAsia="仿宋_GB2312" w:cs="宋体"/>
          <w:sz w:val="32"/>
          <w:szCs w:val="32"/>
        </w:rPr>
        <w:t>市经济和信息化局官方网站</w:t>
      </w:r>
      <w:r>
        <w:rPr>
          <w:rFonts w:ascii="仿宋_GB2312" w:hAnsi="宋体" w:eastAsia="仿宋_GB2312" w:cs="宋体"/>
          <w:sz w:val="32"/>
          <w:szCs w:val="32"/>
        </w:rPr>
        <w:t>对外</w:t>
      </w:r>
      <w:r>
        <w:rPr>
          <w:rFonts w:hint="eastAsia" w:ascii="仿宋_GB2312" w:hAnsi="宋体" w:eastAsia="仿宋_GB2312" w:cs="宋体"/>
          <w:sz w:val="32"/>
          <w:szCs w:val="32"/>
        </w:rPr>
        <w:t>公示，接受社会监督。</w:t>
      </w:r>
    </w:p>
    <w:p>
      <w:pPr>
        <w:widowControl/>
        <w:snapToGrid w:val="0"/>
        <w:spacing w:line="540" w:lineRule="exact"/>
        <w:ind w:firstLine="640" w:firstLineChars="200"/>
        <w:outlineLvl w:val="2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</w:t>
      </w:r>
      <w:r>
        <w:rPr>
          <w:rFonts w:hint="eastAsia" w:ascii="仿宋_GB2312" w:hAnsi="宋体" w:eastAsia="仿宋_GB2312" w:cs="宋体"/>
          <w:sz w:val="32"/>
          <w:szCs w:val="32"/>
        </w:rPr>
        <w:t>二</w:t>
      </w:r>
      <w:r>
        <w:rPr>
          <w:rFonts w:ascii="仿宋_GB2312" w:hAnsi="宋体" w:eastAsia="仿宋_GB2312" w:cs="宋体"/>
          <w:sz w:val="32"/>
          <w:szCs w:val="32"/>
        </w:rPr>
        <w:t>条 公示无异议的，市经济和信息化局发布公告，授予“北京市中小企业公共服务示范平台”称号。</w:t>
      </w:r>
    </w:p>
    <w:p>
      <w:pPr>
        <w:spacing w:line="540" w:lineRule="exact"/>
      </w:pPr>
    </w:p>
    <w:p>
      <w:pPr>
        <w:pStyle w:val="4"/>
        <w:widowControl/>
        <w:snapToGrid w:val="0"/>
        <w:spacing w:line="540" w:lineRule="exact"/>
        <w:jc w:val="center"/>
        <w:outlineLvl w:val="1"/>
        <w:rPr>
          <w:rFonts w:hint="default" w:ascii="黑体" w:hAnsi="宋体" w:eastAsia="黑体" w:cs="宋体"/>
          <w:sz w:val="32"/>
          <w:szCs w:val="32"/>
        </w:rPr>
      </w:pPr>
      <w:r>
        <w:rPr>
          <w:rFonts w:ascii="黑体" w:hAnsi="宋体" w:eastAsia="黑体" w:cs="宋体"/>
          <w:sz w:val="32"/>
          <w:szCs w:val="32"/>
        </w:rPr>
        <w:t>第四章　绩效评价</w:t>
      </w:r>
    </w:p>
    <w:p>
      <w:pPr>
        <w:snapToGrid w:val="0"/>
        <w:spacing w:line="540" w:lineRule="exact"/>
        <w:ind w:firstLine="640" w:firstLineChars="200"/>
        <w:outlineLvl w:val="2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</w:t>
      </w:r>
      <w:r>
        <w:rPr>
          <w:rFonts w:hint="eastAsia" w:ascii="仿宋_GB2312" w:hAnsi="宋体" w:eastAsia="仿宋_GB2312" w:cs="宋体"/>
          <w:sz w:val="32"/>
          <w:szCs w:val="32"/>
        </w:rPr>
        <w:t>三</w:t>
      </w:r>
      <w:r>
        <w:rPr>
          <w:rFonts w:ascii="仿宋_GB2312" w:hAnsi="宋体" w:eastAsia="仿宋_GB2312" w:cs="宋体"/>
          <w:sz w:val="32"/>
          <w:szCs w:val="32"/>
        </w:rPr>
        <w:t xml:space="preserve">条 </w:t>
      </w:r>
      <w:r>
        <w:rPr>
          <w:rFonts w:hint="eastAsia" w:ascii="仿宋_GB2312" w:hAnsi="宋体" w:eastAsia="仿宋_GB2312" w:cs="宋体"/>
          <w:sz w:val="32"/>
          <w:szCs w:val="32"/>
        </w:rPr>
        <w:t>示范平台实行动态管理，经认定的示范平台</w:t>
      </w:r>
      <w:r>
        <w:rPr>
          <w:rFonts w:ascii="仿宋_GB2312" w:hAnsi="宋体" w:eastAsia="仿宋_GB2312" w:cs="宋体"/>
          <w:sz w:val="32"/>
          <w:szCs w:val="32"/>
        </w:rPr>
        <w:t>应</w:t>
      </w:r>
      <w:r>
        <w:rPr>
          <w:rFonts w:hint="eastAsia" w:ascii="仿宋_GB2312" w:hAnsi="宋体" w:eastAsia="仿宋_GB2312" w:cs="宋体"/>
          <w:sz w:val="32"/>
          <w:szCs w:val="32"/>
        </w:rPr>
        <w:t>按要求</w:t>
      </w:r>
      <w:r>
        <w:rPr>
          <w:rFonts w:ascii="仿宋_GB2312" w:hAnsi="宋体" w:eastAsia="仿宋_GB2312" w:cs="宋体"/>
          <w:sz w:val="32"/>
          <w:szCs w:val="32"/>
        </w:rPr>
        <w:t>参加市经济和信息化局组织</w:t>
      </w:r>
      <w:r>
        <w:rPr>
          <w:rFonts w:hint="eastAsia" w:ascii="仿宋_GB2312" w:hAnsi="宋体" w:eastAsia="仿宋_GB2312" w:cs="宋体"/>
          <w:sz w:val="32"/>
          <w:szCs w:val="32"/>
        </w:rPr>
        <w:t>开展的年度</w:t>
      </w:r>
      <w:r>
        <w:rPr>
          <w:rFonts w:ascii="仿宋_GB2312" w:hAnsi="宋体" w:eastAsia="仿宋_GB2312" w:cs="宋体"/>
          <w:sz w:val="32"/>
          <w:szCs w:val="32"/>
        </w:rPr>
        <w:t>绩效评价和星级评定。未按要求参加的，</w:t>
      </w:r>
      <w:r>
        <w:rPr>
          <w:rFonts w:hint="eastAsia" w:ascii="仿宋_GB2312" w:hAnsi="宋体" w:eastAsia="仿宋_GB2312" w:cs="宋体"/>
          <w:sz w:val="32"/>
          <w:szCs w:val="32"/>
        </w:rPr>
        <w:t>视同为绩效</w:t>
      </w:r>
      <w:r>
        <w:rPr>
          <w:rFonts w:ascii="仿宋_GB2312" w:hAnsi="宋体" w:eastAsia="仿宋_GB2312" w:cs="宋体"/>
          <w:sz w:val="32"/>
          <w:szCs w:val="32"/>
        </w:rPr>
        <w:t>评价结果不合格。</w:t>
      </w:r>
    </w:p>
    <w:p>
      <w:pPr>
        <w:pStyle w:val="4"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第十四条</w:t>
      </w:r>
      <w:r>
        <w:rPr>
          <w:rFonts w:hint="default" w:ascii="仿宋_GB2312" w:hAnsi="宋体" w:eastAsia="仿宋_GB2312" w:cs="宋体"/>
          <w:sz w:val="32"/>
          <w:szCs w:val="32"/>
        </w:rPr>
        <w:t xml:space="preserve"> </w:t>
      </w:r>
      <w:r>
        <w:rPr>
          <w:rFonts w:ascii="仿宋_GB2312" w:hAnsi="宋体" w:eastAsia="仿宋_GB2312" w:cs="宋体"/>
          <w:sz w:val="32"/>
          <w:szCs w:val="32"/>
        </w:rPr>
        <w:t>绩效评价结果不合格的，撤销已授予的示范平台称号。绩效评价结果一般的，保留其示范平台称号，不予资金支持。绩效评价结果较好的，分级分档给予资金奖励，对其为提升服务中小企业能力而发生的建设项目予以优先支持。</w:t>
      </w:r>
    </w:p>
    <w:p>
      <w:pPr>
        <w:spacing w:line="540" w:lineRule="exact"/>
      </w:pPr>
    </w:p>
    <w:p>
      <w:pPr>
        <w:pStyle w:val="4"/>
        <w:widowControl/>
        <w:snapToGrid w:val="0"/>
        <w:spacing w:line="540" w:lineRule="exact"/>
        <w:jc w:val="center"/>
        <w:outlineLvl w:val="1"/>
        <w:rPr>
          <w:rFonts w:hint="default" w:ascii="黑体" w:hAnsi="宋体" w:eastAsia="黑体" w:cs="宋体"/>
          <w:sz w:val="32"/>
          <w:szCs w:val="32"/>
        </w:rPr>
      </w:pPr>
      <w:r>
        <w:rPr>
          <w:rFonts w:ascii="黑体" w:hAnsi="宋体" w:eastAsia="黑体" w:cs="宋体"/>
          <w:sz w:val="32"/>
          <w:szCs w:val="32"/>
        </w:rPr>
        <w:t>第五章　监督管理</w:t>
      </w:r>
    </w:p>
    <w:p>
      <w:pPr>
        <w:pStyle w:val="4"/>
        <w:widowControl/>
        <w:snapToGrid w:val="0"/>
        <w:spacing w:line="540" w:lineRule="exact"/>
        <w:ind w:firstLine="640" w:firstLineChars="200"/>
        <w:jc w:val="left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第十五条 有下列情况之一的，撤销已授予的示范平台称号，两年内不得再次申请：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（一）在申请认定和绩效评价中提供虚假材料和数据；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（二）单位或法定代表人违反有关法律法规，受到刑事及严重行政处罚；</w:t>
      </w:r>
    </w:p>
    <w:p>
      <w:pPr>
        <w:pStyle w:val="4"/>
        <w:widowControl/>
        <w:snapToGrid w:val="0"/>
        <w:spacing w:line="540" w:lineRule="exact"/>
        <w:ind w:firstLine="640" w:firstLineChars="200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（三）单位或法定代表人存在</w:t>
      </w:r>
      <w:r>
        <w:rPr>
          <w:rFonts w:hint="default" w:ascii="仿宋_GB2312" w:hAnsi="宋体" w:eastAsia="仿宋_GB2312" w:cs="宋体"/>
          <w:sz w:val="32"/>
          <w:szCs w:val="32"/>
        </w:rPr>
        <w:t>司法、行政机关认定的严重失信行为</w:t>
      </w:r>
      <w:r>
        <w:rPr>
          <w:rFonts w:ascii="仿宋_GB2312" w:hAnsi="宋体" w:eastAsia="仿宋_GB2312" w:cs="宋体"/>
          <w:sz w:val="32"/>
          <w:szCs w:val="32"/>
        </w:rPr>
        <w:t>。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第十六条 示范平台应积极与北京市中小企业公共服务平台开展协同服务，接受其业务指导，按期报送运营管理、服务企业、活动组织等相关数据及信息。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第十七条 示范平台遇有名称、地址、主营业务等重大变更事项的，应在发生变更后30个工作日内报市经济和信息化局备案，市经济和信息化局视情况作出示范平台变更或撤销的处理决定，并向社会公示。</w:t>
      </w:r>
    </w:p>
    <w:p>
      <w:pPr>
        <w:pStyle w:val="4"/>
        <w:spacing w:line="540" w:lineRule="exact"/>
        <w:rPr>
          <w:rFonts w:hint="default"/>
        </w:rPr>
      </w:pPr>
    </w:p>
    <w:p>
      <w:pPr>
        <w:pStyle w:val="4"/>
        <w:widowControl/>
        <w:snapToGrid w:val="0"/>
        <w:spacing w:line="540" w:lineRule="exact"/>
        <w:jc w:val="center"/>
        <w:outlineLvl w:val="1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黑体" w:hAnsi="宋体" w:eastAsia="黑体" w:cs="宋体"/>
          <w:sz w:val="32"/>
          <w:szCs w:val="32"/>
        </w:rPr>
        <w:t>第六章　附　则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第十八条 本办法自发布之日起施行,《北京市中小企业公共服务示范平台评价管理办法》（京经信发〔2019〕51号）同时废止。已认定示范平台的管理按本办法执行。</w:t>
      </w:r>
    </w:p>
    <w:p>
      <w:pPr>
        <w:pStyle w:val="4"/>
        <w:widowControl/>
        <w:snapToGrid w:val="0"/>
        <w:spacing w:line="540" w:lineRule="exact"/>
        <w:ind w:firstLine="640" w:firstLineChars="200"/>
        <w:outlineLvl w:val="2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第十九条 本办法由市经济和信息化局负责解释。</w:t>
      </w:r>
    </w:p>
    <w:p>
      <w:pPr>
        <w:spacing w:line="540" w:lineRule="exact"/>
        <w:ind w:firstLine="420" w:firstLineChars="200"/>
      </w:pPr>
    </w:p>
    <w:sectPr>
      <w:footerReference r:id="rId3" w:type="default"/>
      <w:pgSz w:w="11906" w:h="16838"/>
      <w:pgMar w:top="1587" w:right="1474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DejaVu Sans">
    <w:altName w:val="Arial"/>
    <w:panose1 w:val="00000000000000000000"/>
    <w:charset w:val="00"/>
    <w:family w:val="roman"/>
    <w:pitch w:val="default"/>
    <w:sig w:usb0="00000000" w:usb1="00000000" w:usb2="0A246029" w:usb3="0400200C" w:csb0="600001FF" w:csb1="DFFF0000"/>
  </w:font>
  <w:font w:name="方正小标宋_GBK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24</w:t>
    </w:r>
    <w:r>
      <w:rPr>
        <w:sz w:val="28"/>
        <w:szCs w:val="28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lZGFlZDNlMjRlNGEzMmM1NWJlY2RiMWRhYTFkNGMifQ=="/>
  </w:docVars>
  <w:rsids>
    <w:rsidRoot w:val="00172A27"/>
    <w:rsid w:val="000052CC"/>
    <w:rsid w:val="00005A29"/>
    <w:rsid w:val="00024725"/>
    <w:rsid w:val="00034E1A"/>
    <w:rsid w:val="00057A3F"/>
    <w:rsid w:val="00077DD5"/>
    <w:rsid w:val="00086AD8"/>
    <w:rsid w:val="0009425C"/>
    <w:rsid w:val="000A47B3"/>
    <w:rsid w:val="000A55A8"/>
    <w:rsid w:val="000C225D"/>
    <w:rsid w:val="000F347B"/>
    <w:rsid w:val="000F4097"/>
    <w:rsid w:val="000F77E5"/>
    <w:rsid w:val="00103017"/>
    <w:rsid w:val="00104BE2"/>
    <w:rsid w:val="00113A99"/>
    <w:rsid w:val="00116CA5"/>
    <w:rsid w:val="001239C3"/>
    <w:rsid w:val="00152392"/>
    <w:rsid w:val="00160758"/>
    <w:rsid w:val="0016136A"/>
    <w:rsid w:val="00163198"/>
    <w:rsid w:val="001B6FEE"/>
    <w:rsid w:val="001C247A"/>
    <w:rsid w:val="001D2527"/>
    <w:rsid w:val="001D47F4"/>
    <w:rsid w:val="001E3085"/>
    <w:rsid w:val="001F4115"/>
    <w:rsid w:val="0020135D"/>
    <w:rsid w:val="00201868"/>
    <w:rsid w:val="00203477"/>
    <w:rsid w:val="00220A34"/>
    <w:rsid w:val="00226336"/>
    <w:rsid w:val="00257D7C"/>
    <w:rsid w:val="00265FF2"/>
    <w:rsid w:val="002675CE"/>
    <w:rsid w:val="0027733C"/>
    <w:rsid w:val="002A16B3"/>
    <w:rsid w:val="002B6D18"/>
    <w:rsid w:val="002D199B"/>
    <w:rsid w:val="002E4319"/>
    <w:rsid w:val="002E6B24"/>
    <w:rsid w:val="002F7338"/>
    <w:rsid w:val="00300AF3"/>
    <w:rsid w:val="00315F0F"/>
    <w:rsid w:val="003217BA"/>
    <w:rsid w:val="003512F1"/>
    <w:rsid w:val="003663F3"/>
    <w:rsid w:val="00384D11"/>
    <w:rsid w:val="00391C62"/>
    <w:rsid w:val="003A0557"/>
    <w:rsid w:val="003A5C48"/>
    <w:rsid w:val="003B358D"/>
    <w:rsid w:val="003D2652"/>
    <w:rsid w:val="003D5983"/>
    <w:rsid w:val="003E0423"/>
    <w:rsid w:val="003F673C"/>
    <w:rsid w:val="004113E2"/>
    <w:rsid w:val="00413057"/>
    <w:rsid w:val="00420566"/>
    <w:rsid w:val="00422112"/>
    <w:rsid w:val="00430FC3"/>
    <w:rsid w:val="00433D20"/>
    <w:rsid w:val="004614D6"/>
    <w:rsid w:val="00461749"/>
    <w:rsid w:val="00464B35"/>
    <w:rsid w:val="004657BC"/>
    <w:rsid w:val="00466E74"/>
    <w:rsid w:val="00481F23"/>
    <w:rsid w:val="0048550A"/>
    <w:rsid w:val="00490B0E"/>
    <w:rsid w:val="00493A8F"/>
    <w:rsid w:val="00497135"/>
    <w:rsid w:val="004B1B93"/>
    <w:rsid w:val="004C6464"/>
    <w:rsid w:val="004C7607"/>
    <w:rsid w:val="004D2F11"/>
    <w:rsid w:val="004D3FB4"/>
    <w:rsid w:val="004D46C3"/>
    <w:rsid w:val="004E331B"/>
    <w:rsid w:val="004E401F"/>
    <w:rsid w:val="004F43D7"/>
    <w:rsid w:val="00517E19"/>
    <w:rsid w:val="00541F22"/>
    <w:rsid w:val="005449DC"/>
    <w:rsid w:val="0054698B"/>
    <w:rsid w:val="005625D8"/>
    <w:rsid w:val="00570313"/>
    <w:rsid w:val="00573B51"/>
    <w:rsid w:val="0058181C"/>
    <w:rsid w:val="005915E7"/>
    <w:rsid w:val="005B3725"/>
    <w:rsid w:val="005B647C"/>
    <w:rsid w:val="005C2A34"/>
    <w:rsid w:val="005C56C4"/>
    <w:rsid w:val="005C6EB2"/>
    <w:rsid w:val="005E2321"/>
    <w:rsid w:val="005E38BF"/>
    <w:rsid w:val="005F3BEF"/>
    <w:rsid w:val="00601304"/>
    <w:rsid w:val="006058DC"/>
    <w:rsid w:val="00611938"/>
    <w:rsid w:val="00617D74"/>
    <w:rsid w:val="00620E15"/>
    <w:rsid w:val="00624023"/>
    <w:rsid w:val="00631F82"/>
    <w:rsid w:val="0063217E"/>
    <w:rsid w:val="0063552D"/>
    <w:rsid w:val="00635A0F"/>
    <w:rsid w:val="0063703D"/>
    <w:rsid w:val="00641E4E"/>
    <w:rsid w:val="00642E05"/>
    <w:rsid w:val="006500D0"/>
    <w:rsid w:val="00657EA8"/>
    <w:rsid w:val="006714C0"/>
    <w:rsid w:val="00677F2B"/>
    <w:rsid w:val="00681C4A"/>
    <w:rsid w:val="0069293B"/>
    <w:rsid w:val="006B51E4"/>
    <w:rsid w:val="006D32CD"/>
    <w:rsid w:val="006D3EEF"/>
    <w:rsid w:val="006D62E0"/>
    <w:rsid w:val="006E0425"/>
    <w:rsid w:val="00706C5D"/>
    <w:rsid w:val="00730E53"/>
    <w:rsid w:val="00745D08"/>
    <w:rsid w:val="00747AB3"/>
    <w:rsid w:val="00750DB5"/>
    <w:rsid w:val="007521B6"/>
    <w:rsid w:val="00763838"/>
    <w:rsid w:val="00767190"/>
    <w:rsid w:val="00776459"/>
    <w:rsid w:val="00782F92"/>
    <w:rsid w:val="00786512"/>
    <w:rsid w:val="00790202"/>
    <w:rsid w:val="007A4921"/>
    <w:rsid w:val="007B6324"/>
    <w:rsid w:val="007C5367"/>
    <w:rsid w:val="007F610D"/>
    <w:rsid w:val="007F7A77"/>
    <w:rsid w:val="0082547E"/>
    <w:rsid w:val="00831EDC"/>
    <w:rsid w:val="00833E47"/>
    <w:rsid w:val="00834410"/>
    <w:rsid w:val="008410C5"/>
    <w:rsid w:val="00857CEF"/>
    <w:rsid w:val="0088354E"/>
    <w:rsid w:val="008852B1"/>
    <w:rsid w:val="00887732"/>
    <w:rsid w:val="008A22A9"/>
    <w:rsid w:val="008A446A"/>
    <w:rsid w:val="008A67F9"/>
    <w:rsid w:val="008A77DA"/>
    <w:rsid w:val="008B7024"/>
    <w:rsid w:val="008C6140"/>
    <w:rsid w:val="008E0A8E"/>
    <w:rsid w:val="008E6FCF"/>
    <w:rsid w:val="008E7AD9"/>
    <w:rsid w:val="008F31D0"/>
    <w:rsid w:val="00917D41"/>
    <w:rsid w:val="009254D7"/>
    <w:rsid w:val="00946683"/>
    <w:rsid w:val="00947F88"/>
    <w:rsid w:val="009542FC"/>
    <w:rsid w:val="009571B0"/>
    <w:rsid w:val="0096041A"/>
    <w:rsid w:val="00961393"/>
    <w:rsid w:val="00962ED4"/>
    <w:rsid w:val="00963A40"/>
    <w:rsid w:val="00966580"/>
    <w:rsid w:val="00972B4A"/>
    <w:rsid w:val="00983E70"/>
    <w:rsid w:val="009A2F47"/>
    <w:rsid w:val="009E55FF"/>
    <w:rsid w:val="009F011A"/>
    <w:rsid w:val="009F2BE3"/>
    <w:rsid w:val="009F407D"/>
    <w:rsid w:val="00A009FE"/>
    <w:rsid w:val="00A01589"/>
    <w:rsid w:val="00A1028F"/>
    <w:rsid w:val="00A13F0A"/>
    <w:rsid w:val="00A21BE4"/>
    <w:rsid w:val="00A337BE"/>
    <w:rsid w:val="00A5613B"/>
    <w:rsid w:val="00A84638"/>
    <w:rsid w:val="00AA0BD3"/>
    <w:rsid w:val="00AB3536"/>
    <w:rsid w:val="00AC22C8"/>
    <w:rsid w:val="00AC253F"/>
    <w:rsid w:val="00AD4E53"/>
    <w:rsid w:val="00AE2412"/>
    <w:rsid w:val="00B0402E"/>
    <w:rsid w:val="00B30565"/>
    <w:rsid w:val="00B311BE"/>
    <w:rsid w:val="00B31FFB"/>
    <w:rsid w:val="00B53973"/>
    <w:rsid w:val="00B5484B"/>
    <w:rsid w:val="00B57D21"/>
    <w:rsid w:val="00B8276A"/>
    <w:rsid w:val="00B877F0"/>
    <w:rsid w:val="00B90533"/>
    <w:rsid w:val="00BA1998"/>
    <w:rsid w:val="00BA3056"/>
    <w:rsid w:val="00BA5472"/>
    <w:rsid w:val="00BC2466"/>
    <w:rsid w:val="00BC6592"/>
    <w:rsid w:val="00BD221E"/>
    <w:rsid w:val="00BD3536"/>
    <w:rsid w:val="00C2346E"/>
    <w:rsid w:val="00C33ABD"/>
    <w:rsid w:val="00C4700E"/>
    <w:rsid w:val="00C53E2C"/>
    <w:rsid w:val="00C73DEF"/>
    <w:rsid w:val="00CC1462"/>
    <w:rsid w:val="00CC685F"/>
    <w:rsid w:val="00CD601C"/>
    <w:rsid w:val="00D03477"/>
    <w:rsid w:val="00D26EC8"/>
    <w:rsid w:val="00D32182"/>
    <w:rsid w:val="00D4403F"/>
    <w:rsid w:val="00D60410"/>
    <w:rsid w:val="00D632D4"/>
    <w:rsid w:val="00D76A8C"/>
    <w:rsid w:val="00D82F0B"/>
    <w:rsid w:val="00D95A90"/>
    <w:rsid w:val="00DB3C38"/>
    <w:rsid w:val="00DC10D3"/>
    <w:rsid w:val="00DC6E9B"/>
    <w:rsid w:val="00DE30CF"/>
    <w:rsid w:val="00DF21C3"/>
    <w:rsid w:val="00E02F5E"/>
    <w:rsid w:val="00E22D13"/>
    <w:rsid w:val="00E37C9B"/>
    <w:rsid w:val="00E41522"/>
    <w:rsid w:val="00E44629"/>
    <w:rsid w:val="00E60D05"/>
    <w:rsid w:val="00E67A85"/>
    <w:rsid w:val="00E706AF"/>
    <w:rsid w:val="00E7184E"/>
    <w:rsid w:val="00E74764"/>
    <w:rsid w:val="00E74954"/>
    <w:rsid w:val="00E81E2A"/>
    <w:rsid w:val="00E91196"/>
    <w:rsid w:val="00E9405E"/>
    <w:rsid w:val="00EB1624"/>
    <w:rsid w:val="00EC5844"/>
    <w:rsid w:val="00EC5E30"/>
    <w:rsid w:val="00EF2F01"/>
    <w:rsid w:val="00F15D68"/>
    <w:rsid w:val="00F2043A"/>
    <w:rsid w:val="00F24582"/>
    <w:rsid w:val="00F301EB"/>
    <w:rsid w:val="00F43C2B"/>
    <w:rsid w:val="00F46574"/>
    <w:rsid w:val="00F4728F"/>
    <w:rsid w:val="00F535B1"/>
    <w:rsid w:val="00F56AAC"/>
    <w:rsid w:val="00F70065"/>
    <w:rsid w:val="00F82D6B"/>
    <w:rsid w:val="00F846AE"/>
    <w:rsid w:val="00F877BF"/>
    <w:rsid w:val="00FA1C89"/>
    <w:rsid w:val="00FA67BC"/>
    <w:rsid w:val="00FA7903"/>
    <w:rsid w:val="00FA7E99"/>
    <w:rsid w:val="00FC31D3"/>
    <w:rsid w:val="00FE22A5"/>
    <w:rsid w:val="00FE49A9"/>
    <w:rsid w:val="00FF01E9"/>
    <w:rsid w:val="026C3780"/>
    <w:rsid w:val="0B7321E0"/>
    <w:rsid w:val="0BEDB370"/>
    <w:rsid w:val="116FA439"/>
    <w:rsid w:val="16FE2AEC"/>
    <w:rsid w:val="17FF720D"/>
    <w:rsid w:val="1D58143E"/>
    <w:rsid w:val="1F9B38B3"/>
    <w:rsid w:val="1FB7CFA3"/>
    <w:rsid w:val="1FBDA66C"/>
    <w:rsid w:val="1FDE8C22"/>
    <w:rsid w:val="1FFD1BCE"/>
    <w:rsid w:val="1FFFB829"/>
    <w:rsid w:val="20FF9B58"/>
    <w:rsid w:val="24ED7CD0"/>
    <w:rsid w:val="27BDB76C"/>
    <w:rsid w:val="27FBB661"/>
    <w:rsid w:val="2A5FCF69"/>
    <w:rsid w:val="2AFF9C3C"/>
    <w:rsid w:val="2BDEEB87"/>
    <w:rsid w:val="2BF7EF4F"/>
    <w:rsid w:val="2CAC8DF6"/>
    <w:rsid w:val="2D3D3784"/>
    <w:rsid w:val="2D7FB4FB"/>
    <w:rsid w:val="2D836633"/>
    <w:rsid w:val="2DF7775D"/>
    <w:rsid w:val="2DFF55A3"/>
    <w:rsid w:val="2EFF7274"/>
    <w:rsid w:val="2F45C6F5"/>
    <w:rsid w:val="2F6E7BF7"/>
    <w:rsid w:val="2F776246"/>
    <w:rsid w:val="2F9BBAEE"/>
    <w:rsid w:val="2FBA8A52"/>
    <w:rsid w:val="2FED3531"/>
    <w:rsid w:val="2FFDAF83"/>
    <w:rsid w:val="31BE0E94"/>
    <w:rsid w:val="339D2ABF"/>
    <w:rsid w:val="33F33000"/>
    <w:rsid w:val="35FD3B2A"/>
    <w:rsid w:val="374DFD40"/>
    <w:rsid w:val="376BAB27"/>
    <w:rsid w:val="37AF82C2"/>
    <w:rsid w:val="37F69DC4"/>
    <w:rsid w:val="382D79E1"/>
    <w:rsid w:val="39FBC1E6"/>
    <w:rsid w:val="3AB3B0FB"/>
    <w:rsid w:val="3B8F58F3"/>
    <w:rsid w:val="3BBB7F46"/>
    <w:rsid w:val="3CEF0770"/>
    <w:rsid w:val="3CFF6C48"/>
    <w:rsid w:val="3D7F3A6B"/>
    <w:rsid w:val="3D7F6E2A"/>
    <w:rsid w:val="3DCA0EDD"/>
    <w:rsid w:val="3DEF03F0"/>
    <w:rsid w:val="3DF7E5D8"/>
    <w:rsid w:val="3DF9DE3E"/>
    <w:rsid w:val="3E4F1205"/>
    <w:rsid w:val="3EFE1FF4"/>
    <w:rsid w:val="3F3DB023"/>
    <w:rsid w:val="3F56AABA"/>
    <w:rsid w:val="3F9A166F"/>
    <w:rsid w:val="3F9BA85A"/>
    <w:rsid w:val="3FD3B384"/>
    <w:rsid w:val="3FD7EC43"/>
    <w:rsid w:val="3FDF196A"/>
    <w:rsid w:val="3FDF4E84"/>
    <w:rsid w:val="3FF92667"/>
    <w:rsid w:val="3FFCE001"/>
    <w:rsid w:val="44577159"/>
    <w:rsid w:val="45B4765A"/>
    <w:rsid w:val="46FFA55C"/>
    <w:rsid w:val="4A3F78E6"/>
    <w:rsid w:val="4BC793B9"/>
    <w:rsid w:val="4BDFF5C9"/>
    <w:rsid w:val="4BFB6998"/>
    <w:rsid w:val="4D374C50"/>
    <w:rsid w:val="4E9936C9"/>
    <w:rsid w:val="4EBD6BAC"/>
    <w:rsid w:val="4EDC8EE7"/>
    <w:rsid w:val="4FBF8F50"/>
    <w:rsid w:val="50D810F5"/>
    <w:rsid w:val="527B6B34"/>
    <w:rsid w:val="567FED5E"/>
    <w:rsid w:val="57368E69"/>
    <w:rsid w:val="5797ABEB"/>
    <w:rsid w:val="579D39B0"/>
    <w:rsid w:val="579FFA55"/>
    <w:rsid w:val="57F30CA1"/>
    <w:rsid w:val="57FFEC7D"/>
    <w:rsid w:val="59AE1F58"/>
    <w:rsid w:val="5AC55E59"/>
    <w:rsid w:val="5B67D46F"/>
    <w:rsid w:val="5B74A33E"/>
    <w:rsid w:val="5B77FA75"/>
    <w:rsid w:val="5BBD33B4"/>
    <w:rsid w:val="5BCBA467"/>
    <w:rsid w:val="5BFF003B"/>
    <w:rsid w:val="5CFD8B2D"/>
    <w:rsid w:val="5DDBD9CF"/>
    <w:rsid w:val="5DDFEE09"/>
    <w:rsid w:val="5DFF79EE"/>
    <w:rsid w:val="5E75E56A"/>
    <w:rsid w:val="5E7ADE86"/>
    <w:rsid w:val="5E7FE10D"/>
    <w:rsid w:val="5F3F1179"/>
    <w:rsid w:val="5F67AF07"/>
    <w:rsid w:val="5F77B991"/>
    <w:rsid w:val="5F7F9A61"/>
    <w:rsid w:val="5F8EAE60"/>
    <w:rsid w:val="5F969260"/>
    <w:rsid w:val="5FB30F4B"/>
    <w:rsid w:val="5FDF56C0"/>
    <w:rsid w:val="5FF7154F"/>
    <w:rsid w:val="5FFEB57E"/>
    <w:rsid w:val="5FFFECBD"/>
    <w:rsid w:val="63FFFE51"/>
    <w:rsid w:val="659F1AED"/>
    <w:rsid w:val="65FF9A07"/>
    <w:rsid w:val="66E30238"/>
    <w:rsid w:val="66FB5FA0"/>
    <w:rsid w:val="66FE506F"/>
    <w:rsid w:val="66FFE7C2"/>
    <w:rsid w:val="67CD7321"/>
    <w:rsid w:val="67DE00B8"/>
    <w:rsid w:val="67F33788"/>
    <w:rsid w:val="67F7EBDA"/>
    <w:rsid w:val="67FD1B61"/>
    <w:rsid w:val="69BFFB47"/>
    <w:rsid w:val="6A35DB4E"/>
    <w:rsid w:val="6B195680"/>
    <w:rsid w:val="6B4DCE2E"/>
    <w:rsid w:val="6B533BA8"/>
    <w:rsid w:val="6DFB663A"/>
    <w:rsid w:val="6F6BD86C"/>
    <w:rsid w:val="6FB11CDF"/>
    <w:rsid w:val="6FBA72C6"/>
    <w:rsid w:val="6FCE0B54"/>
    <w:rsid w:val="6FDE8C42"/>
    <w:rsid w:val="6FEF48C1"/>
    <w:rsid w:val="6FF7F2CA"/>
    <w:rsid w:val="6FFBED56"/>
    <w:rsid w:val="6FFEC60B"/>
    <w:rsid w:val="734F493D"/>
    <w:rsid w:val="735DFD45"/>
    <w:rsid w:val="737F24A4"/>
    <w:rsid w:val="73ED13AF"/>
    <w:rsid w:val="73FFD444"/>
    <w:rsid w:val="75BD0145"/>
    <w:rsid w:val="75F74989"/>
    <w:rsid w:val="75FC9D76"/>
    <w:rsid w:val="76A4609C"/>
    <w:rsid w:val="76B7A539"/>
    <w:rsid w:val="76EF9278"/>
    <w:rsid w:val="772BD71E"/>
    <w:rsid w:val="7738C6EC"/>
    <w:rsid w:val="775A5E9E"/>
    <w:rsid w:val="777FE2EB"/>
    <w:rsid w:val="77BA5FF3"/>
    <w:rsid w:val="77BC236C"/>
    <w:rsid w:val="77DDE16A"/>
    <w:rsid w:val="77FB7234"/>
    <w:rsid w:val="77FD73EA"/>
    <w:rsid w:val="77FF3737"/>
    <w:rsid w:val="795F2916"/>
    <w:rsid w:val="79F77B22"/>
    <w:rsid w:val="79FDD829"/>
    <w:rsid w:val="7A75AFCC"/>
    <w:rsid w:val="7AB130FD"/>
    <w:rsid w:val="7ABE8D54"/>
    <w:rsid w:val="7AFFAB8C"/>
    <w:rsid w:val="7B17FAC4"/>
    <w:rsid w:val="7B77584F"/>
    <w:rsid w:val="7B7D358C"/>
    <w:rsid w:val="7B7E10BC"/>
    <w:rsid w:val="7BC7120F"/>
    <w:rsid w:val="7BDCC8FD"/>
    <w:rsid w:val="7BEF441C"/>
    <w:rsid w:val="7BF632E7"/>
    <w:rsid w:val="7BF780F4"/>
    <w:rsid w:val="7BFD96FE"/>
    <w:rsid w:val="7BFE1EB8"/>
    <w:rsid w:val="7BFF7226"/>
    <w:rsid w:val="7CEFFB02"/>
    <w:rsid w:val="7CF7C6B7"/>
    <w:rsid w:val="7D6E440C"/>
    <w:rsid w:val="7D6E8B33"/>
    <w:rsid w:val="7D7731DB"/>
    <w:rsid w:val="7DAC5BF8"/>
    <w:rsid w:val="7DBAF5BE"/>
    <w:rsid w:val="7DBBBF9F"/>
    <w:rsid w:val="7DBDC75A"/>
    <w:rsid w:val="7DBF9BFE"/>
    <w:rsid w:val="7DC6C635"/>
    <w:rsid w:val="7DD77A35"/>
    <w:rsid w:val="7DE71451"/>
    <w:rsid w:val="7DFD4724"/>
    <w:rsid w:val="7DFDC771"/>
    <w:rsid w:val="7DFF16D4"/>
    <w:rsid w:val="7E579ACD"/>
    <w:rsid w:val="7E57DE53"/>
    <w:rsid w:val="7E9B159B"/>
    <w:rsid w:val="7E9EDEA0"/>
    <w:rsid w:val="7EBC6CC4"/>
    <w:rsid w:val="7EE63E42"/>
    <w:rsid w:val="7EF15964"/>
    <w:rsid w:val="7F55F662"/>
    <w:rsid w:val="7F5F033B"/>
    <w:rsid w:val="7F6DA4D6"/>
    <w:rsid w:val="7F76A238"/>
    <w:rsid w:val="7F7B15BD"/>
    <w:rsid w:val="7F7B5352"/>
    <w:rsid w:val="7F7C493F"/>
    <w:rsid w:val="7F7FC18C"/>
    <w:rsid w:val="7FA2E07E"/>
    <w:rsid w:val="7FBBAE4D"/>
    <w:rsid w:val="7FBD3B7D"/>
    <w:rsid w:val="7FBF7195"/>
    <w:rsid w:val="7FCFEFE8"/>
    <w:rsid w:val="7FE40A65"/>
    <w:rsid w:val="7FEB2145"/>
    <w:rsid w:val="7FEBF133"/>
    <w:rsid w:val="7FEE9975"/>
    <w:rsid w:val="7FF6040F"/>
    <w:rsid w:val="7FF60C4E"/>
    <w:rsid w:val="7FFC163A"/>
    <w:rsid w:val="7FFCF909"/>
    <w:rsid w:val="7FFD5ABE"/>
    <w:rsid w:val="7FFE0BE4"/>
    <w:rsid w:val="7FFE834B"/>
    <w:rsid w:val="7FFEA14C"/>
    <w:rsid w:val="7FFF35F3"/>
    <w:rsid w:val="7FFFE000"/>
    <w:rsid w:val="84AECEC0"/>
    <w:rsid w:val="87FEC692"/>
    <w:rsid w:val="8F37CEA6"/>
    <w:rsid w:val="8F4F6079"/>
    <w:rsid w:val="927DBF7C"/>
    <w:rsid w:val="937A9178"/>
    <w:rsid w:val="93BB7266"/>
    <w:rsid w:val="95E4E6F1"/>
    <w:rsid w:val="99EF6E71"/>
    <w:rsid w:val="9DDF30A9"/>
    <w:rsid w:val="9DF39A9D"/>
    <w:rsid w:val="9F3B1496"/>
    <w:rsid w:val="9F5D8FB7"/>
    <w:rsid w:val="9F77CBD1"/>
    <w:rsid w:val="9F7FE8CC"/>
    <w:rsid w:val="9FF35962"/>
    <w:rsid w:val="9FF62005"/>
    <w:rsid w:val="A3FECB3F"/>
    <w:rsid w:val="A65EB226"/>
    <w:rsid w:val="A8FFD989"/>
    <w:rsid w:val="A9FF8593"/>
    <w:rsid w:val="AB7A5878"/>
    <w:rsid w:val="ACAE76FA"/>
    <w:rsid w:val="ACB9E2C7"/>
    <w:rsid w:val="ACFE4246"/>
    <w:rsid w:val="ACFFEA98"/>
    <w:rsid w:val="ADFF4E96"/>
    <w:rsid w:val="AEFFA212"/>
    <w:rsid w:val="AF5C3DFA"/>
    <w:rsid w:val="AF7F0BEC"/>
    <w:rsid w:val="AFAE8D48"/>
    <w:rsid w:val="B38B2C6C"/>
    <w:rsid w:val="B3F091BB"/>
    <w:rsid w:val="B4FE14CF"/>
    <w:rsid w:val="B5CBC30B"/>
    <w:rsid w:val="B77D05A8"/>
    <w:rsid w:val="B7BFBA2D"/>
    <w:rsid w:val="B7FB88E8"/>
    <w:rsid w:val="B9BCB8F3"/>
    <w:rsid w:val="BA5F26D1"/>
    <w:rsid w:val="BB1D0F86"/>
    <w:rsid w:val="BCBEA7FA"/>
    <w:rsid w:val="BCF638EB"/>
    <w:rsid w:val="BCFA6D23"/>
    <w:rsid w:val="BD6B8175"/>
    <w:rsid w:val="BD77B1BC"/>
    <w:rsid w:val="BDD62BE6"/>
    <w:rsid w:val="BDFD110C"/>
    <w:rsid w:val="BEEEFFD2"/>
    <w:rsid w:val="BFB7A80E"/>
    <w:rsid w:val="BFC6F501"/>
    <w:rsid w:val="BFDEA301"/>
    <w:rsid w:val="BFE773BC"/>
    <w:rsid w:val="BFF76D63"/>
    <w:rsid w:val="BFF77789"/>
    <w:rsid w:val="BFF97C96"/>
    <w:rsid w:val="BFFBE573"/>
    <w:rsid w:val="BFFF44D6"/>
    <w:rsid w:val="C67FE8C1"/>
    <w:rsid w:val="C77F09B2"/>
    <w:rsid w:val="C7B55C14"/>
    <w:rsid w:val="C7FF109B"/>
    <w:rsid w:val="C959C77C"/>
    <w:rsid w:val="C9BC07EC"/>
    <w:rsid w:val="CA1F8794"/>
    <w:rsid w:val="CDDF5D2C"/>
    <w:rsid w:val="CE1ED102"/>
    <w:rsid w:val="CFAEBE94"/>
    <w:rsid w:val="CFD714BF"/>
    <w:rsid w:val="CFF7866D"/>
    <w:rsid w:val="CFFF67F0"/>
    <w:rsid w:val="D2A161F2"/>
    <w:rsid w:val="D37E9408"/>
    <w:rsid w:val="D3BD00EF"/>
    <w:rsid w:val="D3EF85CF"/>
    <w:rsid w:val="D5DEF6BE"/>
    <w:rsid w:val="D7774603"/>
    <w:rsid w:val="D8A8B283"/>
    <w:rsid w:val="D9F7B7F0"/>
    <w:rsid w:val="D9FF9349"/>
    <w:rsid w:val="DA6DAB02"/>
    <w:rsid w:val="DAF478BD"/>
    <w:rsid w:val="DAFF0AD4"/>
    <w:rsid w:val="DBF25763"/>
    <w:rsid w:val="DBFB5C4F"/>
    <w:rsid w:val="DD2772B8"/>
    <w:rsid w:val="DDB5BECA"/>
    <w:rsid w:val="DEAD9FA1"/>
    <w:rsid w:val="DEFAB4DD"/>
    <w:rsid w:val="DEFF5610"/>
    <w:rsid w:val="DF7DF029"/>
    <w:rsid w:val="DF7F66FF"/>
    <w:rsid w:val="DFCF0370"/>
    <w:rsid w:val="DFDE4CBC"/>
    <w:rsid w:val="DFDF08FE"/>
    <w:rsid w:val="DFF92E65"/>
    <w:rsid w:val="DFFF7F3D"/>
    <w:rsid w:val="DFFF92A4"/>
    <w:rsid w:val="E0771C53"/>
    <w:rsid w:val="E0FE99BB"/>
    <w:rsid w:val="E3FAAD42"/>
    <w:rsid w:val="E6E7BAF7"/>
    <w:rsid w:val="E7BAAEB5"/>
    <w:rsid w:val="E7FDD6FD"/>
    <w:rsid w:val="E88EBAE6"/>
    <w:rsid w:val="EACF9988"/>
    <w:rsid w:val="EBBE1F0E"/>
    <w:rsid w:val="EBF5D3B0"/>
    <w:rsid w:val="EBF753B9"/>
    <w:rsid w:val="EBF7DC6F"/>
    <w:rsid w:val="ECB9F862"/>
    <w:rsid w:val="EDDE0765"/>
    <w:rsid w:val="EDFDC14E"/>
    <w:rsid w:val="EEA63890"/>
    <w:rsid w:val="EEEF2E51"/>
    <w:rsid w:val="EEFC0F9A"/>
    <w:rsid w:val="EEFF2F0B"/>
    <w:rsid w:val="EF663C61"/>
    <w:rsid w:val="EFB66E4E"/>
    <w:rsid w:val="EFBB6862"/>
    <w:rsid w:val="EFBB9609"/>
    <w:rsid w:val="EFBF8738"/>
    <w:rsid w:val="EFCF36B2"/>
    <w:rsid w:val="EFED635B"/>
    <w:rsid w:val="EFF83988"/>
    <w:rsid w:val="EFFB8F80"/>
    <w:rsid w:val="EFFD4AB0"/>
    <w:rsid w:val="EFFE8B14"/>
    <w:rsid w:val="EFFF6845"/>
    <w:rsid w:val="F2830164"/>
    <w:rsid w:val="F3B7DC05"/>
    <w:rsid w:val="F3BFD02B"/>
    <w:rsid w:val="F3EC0CDD"/>
    <w:rsid w:val="F3F75F9B"/>
    <w:rsid w:val="F3FFFAEF"/>
    <w:rsid w:val="F5158154"/>
    <w:rsid w:val="F5DF6DC4"/>
    <w:rsid w:val="F5DF8B94"/>
    <w:rsid w:val="F677E1AB"/>
    <w:rsid w:val="F67FD5C7"/>
    <w:rsid w:val="F69DF189"/>
    <w:rsid w:val="F6AF0BAC"/>
    <w:rsid w:val="F6BB932E"/>
    <w:rsid w:val="F6BF9AF5"/>
    <w:rsid w:val="F6F74E37"/>
    <w:rsid w:val="F73F9F89"/>
    <w:rsid w:val="F7449AB2"/>
    <w:rsid w:val="F76F3370"/>
    <w:rsid w:val="F7735C84"/>
    <w:rsid w:val="F77EE629"/>
    <w:rsid w:val="F7A810D9"/>
    <w:rsid w:val="F7BB910D"/>
    <w:rsid w:val="F7D7D5DC"/>
    <w:rsid w:val="F7EF0FDD"/>
    <w:rsid w:val="F7FD941F"/>
    <w:rsid w:val="F7FF28E2"/>
    <w:rsid w:val="F86FD69E"/>
    <w:rsid w:val="F8BFA6A6"/>
    <w:rsid w:val="F8DF665F"/>
    <w:rsid w:val="F8FF48B2"/>
    <w:rsid w:val="F97EF242"/>
    <w:rsid w:val="F9DFCB9A"/>
    <w:rsid w:val="FA7FD292"/>
    <w:rsid w:val="FABD6A73"/>
    <w:rsid w:val="FAFF65BB"/>
    <w:rsid w:val="FB6ED062"/>
    <w:rsid w:val="FBB4C440"/>
    <w:rsid w:val="FBDBAC86"/>
    <w:rsid w:val="FBE03A59"/>
    <w:rsid w:val="FBEFD79E"/>
    <w:rsid w:val="FBFDB9A5"/>
    <w:rsid w:val="FBFFC6ED"/>
    <w:rsid w:val="FC570217"/>
    <w:rsid w:val="FCF06CCF"/>
    <w:rsid w:val="FD3F5F14"/>
    <w:rsid w:val="FD764DC7"/>
    <w:rsid w:val="FD7B9A03"/>
    <w:rsid w:val="FD7E2FA8"/>
    <w:rsid w:val="FD8FD9F0"/>
    <w:rsid w:val="FDB7342C"/>
    <w:rsid w:val="FDCCCD6E"/>
    <w:rsid w:val="FDDF0ABC"/>
    <w:rsid w:val="FDEBF772"/>
    <w:rsid w:val="FDEFE7CA"/>
    <w:rsid w:val="FDFF4F8F"/>
    <w:rsid w:val="FDFFA31E"/>
    <w:rsid w:val="FE7FF8B0"/>
    <w:rsid w:val="FE98ABEA"/>
    <w:rsid w:val="FE99944A"/>
    <w:rsid w:val="FEB5D9AD"/>
    <w:rsid w:val="FEBB1D51"/>
    <w:rsid w:val="FECB8B0A"/>
    <w:rsid w:val="FEF0718F"/>
    <w:rsid w:val="FEF97E38"/>
    <w:rsid w:val="FEFE9374"/>
    <w:rsid w:val="FEFF85F1"/>
    <w:rsid w:val="FEFFEC38"/>
    <w:rsid w:val="FF3E7B59"/>
    <w:rsid w:val="FF4ED6FD"/>
    <w:rsid w:val="FF57834E"/>
    <w:rsid w:val="FF64EB18"/>
    <w:rsid w:val="FF7262A9"/>
    <w:rsid w:val="FF7270E1"/>
    <w:rsid w:val="FF7E5F5E"/>
    <w:rsid w:val="FF7FBA94"/>
    <w:rsid w:val="FF96A398"/>
    <w:rsid w:val="FFD398B0"/>
    <w:rsid w:val="FFD74A9C"/>
    <w:rsid w:val="FFD9F5C2"/>
    <w:rsid w:val="FFDC926B"/>
    <w:rsid w:val="FFDCC26B"/>
    <w:rsid w:val="FFDF0323"/>
    <w:rsid w:val="FFE34404"/>
    <w:rsid w:val="FFE74CED"/>
    <w:rsid w:val="FFEC750D"/>
    <w:rsid w:val="FFEE9EA7"/>
    <w:rsid w:val="FFF9544A"/>
    <w:rsid w:val="FFF9840E"/>
    <w:rsid w:val="FFFB01D7"/>
    <w:rsid w:val="FFFB4A8B"/>
    <w:rsid w:val="FFFB6B4A"/>
    <w:rsid w:val="FFFBDEEA"/>
    <w:rsid w:val="FFFE326F"/>
    <w:rsid w:val="FFFF2CFC"/>
    <w:rsid w:val="FFFFA012"/>
    <w:rsid w:val="FFFFE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6" w:lineRule="auto"/>
      <w:outlineLvl w:val="0"/>
    </w:pPr>
    <w:rPr>
      <w:b/>
      <w:spacing w:val="-6"/>
      <w:kern w:val="44"/>
      <w:sz w:val="44"/>
    </w:rPr>
  </w:style>
  <w:style w:type="character" w:default="1" w:styleId="12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qFormat/>
    <w:uiPriority w:val="0"/>
    <w:pPr>
      <w:jc w:val="left"/>
    </w:pPr>
  </w:style>
  <w:style w:type="paragraph" w:styleId="4">
    <w:name w:val="Plain Text"/>
    <w:basedOn w:val="1"/>
    <w:link w:val="19"/>
    <w:qFormat/>
    <w:uiPriority w:val="0"/>
    <w:rPr>
      <w:rFonts w:hint="eastAsia" w:ascii="宋体" w:hAnsi="Courier New" w:cs="Courier New"/>
      <w:szCs w:val="21"/>
    </w:rPr>
  </w:style>
  <w:style w:type="paragraph" w:styleId="5">
    <w:name w:val="Balloon Text"/>
    <w:basedOn w:val="1"/>
    <w:link w:val="15"/>
    <w:qFormat/>
    <w:uiPriority w:val="0"/>
    <w:rPr>
      <w:rFonts w:ascii="Calibri" w:hAnsi="Calibri" w:eastAsia="仿宋_GB2312" w:cs="Calibri"/>
      <w:spacing w:val="-6"/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2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8">
    <w:name w:val="HTML Preformatted"/>
    <w:basedOn w:val="1"/>
    <w:link w:val="1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9">
    <w:name w:val="annotation subject"/>
    <w:basedOn w:val="3"/>
    <w:next w:val="3"/>
    <w:link w:val="16"/>
    <w:uiPriority w:val="0"/>
    <w:rPr>
      <w:b/>
      <w:bCs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4">
    <w:name w:val="批注文字 字符"/>
    <w:link w:val="3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框文本 字符"/>
    <w:link w:val="5"/>
    <w:qFormat/>
    <w:uiPriority w:val="0"/>
    <w:rPr>
      <w:rFonts w:ascii="Calibri" w:hAnsi="Calibri" w:eastAsia="仿宋_GB2312" w:cs="Calibri"/>
      <w:spacing w:val="-6"/>
      <w:kern w:val="2"/>
      <w:sz w:val="18"/>
      <w:szCs w:val="18"/>
    </w:rPr>
  </w:style>
  <w:style w:type="character" w:customStyle="1" w:styleId="16">
    <w:name w:val="批注主题 字符"/>
    <w:link w:val="9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7">
    <w:name w:val="HTML 预设格式 字符"/>
    <w:link w:val="8"/>
    <w:qFormat/>
    <w:uiPriority w:val="0"/>
    <w:rPr>
      <w:rFonts w:ascii="宋体" w:hAnsi="宋体" w:eastAsia="宋体" w:cs="Times New Roman"/>
      <w:sz w:val="24"/>
      <w:szCs w:val="24"/>
    </w:rPr>
  </w:style>
  <w:style w:type="character" w:customStyle="1" w:styleId="18">
    <w:name w:val="页脚 字符"/>
    <w:link w:val="6"/>
    <w:qFormat/>
    <w:uiPriority w:val="0"/>
    <w:rPr>
      <w:rFonts w:ascii="Times New Roman" w:hAnsi="Times New Roman" w:eastAsia="宋体" w:cs="Times New Roman"/>
      <w:kern w:val="2"/>
      <w:sz w:val="18"/>
      <w:szCs w:val="24"/>
    </w:rPr>
  </w:style>
  <w:style w:type="character" w:customStyle="1" w:styleId="19">
    <w:name w:val="纯文本 字符"/>
    <w:link w:val="4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20">
    <w:name w:val="页眉 字符"/>
    <w:link w:val="7"/>
    <w:qFormat/>
    <w:uiPriority w:val="0"/>
    <w:rPr>
      <w:rFonts w:ascii="DejaVu Sans" w:hAnsi="DejaVu Sans" w:eastAsia="宋体" w:cs="Times New Roman"/>
      <w:kern w:val="2"/>
      <w:sz w:val="18"/>
      <w:szCs w:val="24"/>
    </w:rPr>
  </w:style>
  <w:style w:type="character" w:customStyle="1" w:styleId="21">
    <w:name w:val="标题 1 字符"/>
    <w:link w:val="2"/>
    <w:qFormat/>
    <w:uiPriority w:val="0"/>
    <w:rPr>
      <w:rFonts w:ascii="Times New Roman" w:hAnsi="Times New Roman" w:eastAsia="宋体" w:cs="Times New Roman"/>
      <w:b/>
      <w:spacing w:val="-6"/>
      <w:kern w:val="44"/>
      <w:sz w:val="44"/>
      <w:szCs w:val="24"/>
    </w:rPr>
  </w:style>
  <w:style w:type="paragraph" w:customStyle="1" w:styleId="22">
    <w:name w:val="Revision"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2614</Words>
  <Characters>2628</Characters>
  <Lines>19</Lines>
  <Paragraphs>5</Paragraphs>
  <TotalTime>1</TotalTime>
  <ScaleCrop>false</ScaleCrop>
  <LinksUpToDate>false</LinksUpToDate>
  <CharactersWithSpaces>2658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2022-05-20T02:47:00Z</dcterms:created>
  <dc:creator>admin</dc:creator>
  <cp:lastModifiedBy>玖朗</cp:lastModifiedBy>
  <cp:lastPrinted>2022-04-22T15:30:00Z</cp:lastPrinted>
  <dcterms:modified xsi:type="dcterms:W3CDTF">2023-03-07T00:36:25Z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4A326B96E2EA441D9438D3B1FABCEC72</vt:lpwstr>
  </property>
</Properties>
</file>