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2022年度丰台区实体书店扶持项目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  <w:lang w:eastAsia="zh-CN"/>
        </w:rPr>
        <w:t>二十四小时书店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全天二十四小时持续经营证明材料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（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如二十四小时经营标识、夜间销售记录、夜班工作人员工资记录及书店夜间经营内外照片等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）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经营能力相关资料（如盈利情况）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参加公共文化活动、举办文化活动情况相关资料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（如文字、图片、网页截图等）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注：1. 活动类型形式：活动类型包括嘉宾讲座、研讨访谈、主题沙龙、诗文诵读、读者见面会、绘（剧）本展演等，活动形式包括线下活动、线上活动以及线上线下相结合的活动；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活动影像资料：提交的影像资料应能充分反映举办活动的具体时间、活动主题、场地环境、到场嘉宾及读者参与人数等要素（图片资料包括活动开始、中间、结尾阶段的照片及活动整体全貌、活动主题、场地规模及环境布置效果、活动嘉宾全景、全景展现现场读者参与情况、线上线下读者参与情况（如为线上活动）等照片）。其中，线下活动还需体现举办过程中的互动留言等要素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时长及规模：单场线下活动参与人数应不少于10人、线上活动参与人数峰值应不少于30人或累计参与人数不少于100人，单场活动总时长应不少于40分钟。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C25D3E"/>
    <w:multiLevelType w:val="singleLevel"/>
    <w:tmpl w:val="3EC25D3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6A8C28F0"/>
    <w:rsid w:val="21A62AD0"/>
    <w:rsid w:val="44AC196C"/>
    <w:rsid w:val="47766179"/>
    <w:rsid w:val="6A8C28F0"/>
    <w:rsid w:val="6D4D4891"/>
    <w:rsid w:val="7554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166</Words>
  <Characters>219</Characters>
  <Lines>0</Lines>
  <Paragraphs>0</Paragraphs>
  <TotalTime>0</TotalTime>
  <ScaleCrop>false</ScaleCrop>
  <LinksUpToDate>false</LinksUpToDate>
  <CharactersWithSpaces>219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2022-07-20T02:05:00Z</dcterms:created>
  <dc:creator>Leessang_</dc:creator>
  <cp:lastModifiedBy>莫</cp:lastModifiedBy>
  <dcterms:modified xsi:type="dcterms:W3CDTF">2022-08-01T09:07:41Z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F67986E3CF2A40DF8805EA349615632A</vt:lpwstr>
  </property>
</Properties>
</file>