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adjustRightInd w:val="0"/>
        <w:snapToGrid w:val="0"/>
        <w:spacing w:line="560" w:lineRule="exact"/>
        <w:rPr>
          <w:rFonts w:ascii="Times New Roman" w:eastAsia="黑体" w:cs="Times New Roman" w:hAnsi="Times New Roman"/>
          <w:bCs/>
          <w:color w:val="000000"/>
          <w:sz w:val="28"/>
          <w:szCs w:val="28"/>
          <w14:textFill>
            <w14:solidFill>
              <w14:srgbClr w14:val="000000"/>
            </w14:solidFill>
          </w14:textFill>
        </w:rPr>
      </w:pPr>
      <w:r>
        <w:rPr>
          <w:rFonts w:ascii="Times New Roman" w:eastAsia="黑体" w:cs="Times New Roman" w:hAnsi="Times New Roman"/>
          <w:bCs/>
          <w:color w:val="000000"/>
          <w:sz w:val="28"/>
          <w:szCs w:val="28"/>
          <w14:textFill>
            <w14:solidFill>
              <w14:srgbClr w14:val="000000"/>
            </w14:solidFill>
          </w14:textFill>
        </w:rPr>
        <w:t>附件</w:t>
      </w:r>
      <w:r>
        <w:rPr>
          <w:rFonts w:ascii="Times New Roman" w:eastAsia="黑体" w:cs="Times New Roman" w:hAnsi="Times New Roman" w:hint="eastAsia"/>
          <w:bCs/>
          <w:color w:val="000000"/>
          <w:sz w:val="28"/>
          <w:szCs w:val="28"/>
          <w14:textFill>
            <w14:solidFill>
              <w14:srgbClr w14:val="000000"/>
            </w14:solidFill>
          </w14:textFill>
          <w:lang w:val="en-US"/>
        </w:rPr>
        <w:t>2</w:t>
      </w:r>
    </w:p>
    <w:p>
      <w:pPr>
        <w:spacing w:line="560" w:lineRule="exact"/>
        <w:jc w:val="center"/>
        <w:rPr>
          <w:rFonts w:ascii="Times New Roman" w:eastAsia="方正小标宋简体" w:cs="Times New Roman" w:hAnsi="Times New Roman"/>
          <w:color w:val="000000"/>
          <w:kern w:val="2"/>
          <w:sz w:val="44"/>
          <w:szCs w:val="44"/>
          <w14:textFill>
            <w14:solidFill>
              <w14:srgbClr w14:val="000000"/>
            </w14:solidFill>
          </w14:textFill>
          <w:lang w:val="en-US"/>
        </w:rPr>
      </w:pPr>
      <w:r>
        <w:rPr>
          <w:rFonts w:ascii="Times New Roman" w:eastAsia="方正小标宋简体" w:cs="Times New Roman" w:hAnsi="Times New Roman" w:hint="eastAsia"/>
          <w:color w:val="000000"/>
          <w:kern w:val="2"/>
          <w:sz w:val="44"/>
          <w:szCs w:val="44"/>
          <w14:textFill>
            <w14:solidFill>
              <w14:srgbClr w14:val="000000"/>
            </w14:solidFill>
          </w14:textFill>
          <w:lang w:val="en-US"/>
        </w:rPr>
        <w:t>“凤鸣计划”企业评选项目</w:t>
      </w:r>
    </w:p>
    <w:p>
      <w:pPr>
        <w:spacing w:line="560" w:lineRule="exact"/>
        <w:jc w:val="center"/>
        <w:rPr>
          <w:rFonts w:ascii="Times New Roman" w:eastAsia="方正小标宋简体" w:cs="Times New Roman" w:hAnsi="Times New Roman"/>
          <w:color w:val="000000"/>
          <w:kern w:val="2"/>
          <w:sz w:val="44"/>
          <w:szCs w:val="44"/>
          <w14:textFill>
            <w14:solidFill>
              <w14:srgbClr w14:val="000000"/>
            </w14:solidFill>
          </w14:textFill>
        </w:rPr>
      </w:pPr>
      <w:r>
        <w:rPr>
          <w:rFonts w:ascii="Times New Roman" w:eastAsia="方正小标宋简体" w:cs="Times New Roman" w:hAnsi="Times New Roman" w:hint="eastAsia"/>
          <w:color w:val="000000"/>
          <w:kern w:val="2"/>
          <w:sz w:val="44"/>
          <w:szCs w:val="44"/>
          <w14:textFill>
            <w14:solidFill>
              <w14:srgbClr w14:val="000000"/>
            </w14:solidFill>
          </w14:textFill>
          <w:lang w:val="en-US"/>
        </w:rPr>
        <w:t>相关</w:t>
      </w:r>
      <w:r>
        <w:rPr>
          <w:rFonts w:ascii="Times New Roman" w:eastAsia="方正小标宋简体" w:cs="Times New Roman" w:hAnsi="Times New Roman" w:hint="eastAsia"/>
          <w:color w:val="000000"/>
          <w:kern w:val="2"/>
          <w:sz w:val="44"/>
          <w:szCs w:val="44"/>
          <w14:textFill>
            <w14:solidFill>
              <w14:srgbClr w14:val="000000"/>
            </w14:solidFill>
          </w14:textFill>
        </w:rPr>
        <w:t>指标注释</w:t>
      </w:r>
    </w:p>
    <w:p>
      <w:pPr>
        <w:adjustRightInd w:val="0"/>
        <w:snapToGrid w:val="0"/>
        <w:spacing w:line="560" w:lineRule="exact"/>
        <w:ind w:firstLineChars="200" w:firstLine="56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（一）审计报告中需列明研发费用，未列明该年度研发费用支出金额的需单独提供研发费用专项审计报告。</w:t>
      </w:r>
    </w:p>
    <w:p>
      <w:pPr>
        <w:adjustRightInd w:val="0"/>
        <w:snapToGrid w:val="0"/>
        <w:spacing w:line="560" w:lineRule="exact"/>
        <w:ind w:left="63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（二）创始人团队是指法定代表人及公司股东。</w:t>
      </w:r>
    </w:p>
    <w:p>
      <w:pPr>
        <w:pStyle w:val="82"/>
        <w:ind w:firstLineChars="200" w:firstLine="560"/>
        <w:jc w:val="both"/>
        <w:rPr>
          <w:rFonts w:ascii="仿宋_GB2312" w:eastAsia="仿宋_GB2312" w:cs="仿宋_GB2312"/>
          <w:color w:val="000000"/>
          <w:szCs w:val="28"/>
          <w14:textFill>
            <w14:solidFill>
              <w14:srgbClr w14:val="000000"/>
            </w14:solidFill>
          </w14:textFill>
          <w:lang w:val="en-US"/>
        </w:rPr>
      </w:pPr>
      <w:r>
        <w:rPr>
          <w:rFonts w:ascii="仿宋_GB2312" w:eastAsia="仿宋_GB2312" w:cs="仿宋_GB2312" w:hint="eastAsia"/>
          <w:color w:val="000000"/>
          <w:szCs w:val="28"/>
          <w14:textFill>
            <w14:solidFill>
              <w14:srgbClr w14:val="000000"/>
            </w14:solidFill>
          </w14:textFill>
          <w:lang w:val="en-US"/>
        </w:rPr>
        <w:t>（三）创始人任职背景证明材料包括其创业经历、曾在企业担任高级管理职位、曾在企业研发机构担任主要职务的盖章说明等材料，或带领团队获得知识产权及发表论文著作成果等材料。</w:t>
      </w:r>
    </w:p>
    <w:p>
      <w:pPr>
        <w:adjustRightInd w:val="0"/>
        <w:snapToGrid w:val="0"/>
        <w:spacing w:line="560" w:lineRule="exact"/>
        <w:ind w:firstLineChars="200" w:firstLine="56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四）I类知识产权包括发明专利（含国防专利）、植物新品种、国家级农作物品种、国家新药、国家一级中药保护品种、集成电路布图设计专有权；Ⅱ类知识产权包括实用新型专利、外观设计专利、软件著作权（不含商标）。如已提供I类知识产权证书，则无需提供Ⅱ类知识产权证书，未提供I类知识产权证书的，则最多提供25个Ⅱ类知识产权列表及证书即可。</w:t>
      </w:r>
    </w:p>
    <w:p>
      <w:pPr>
        <w:pStyle w:val="82"/>
        <w:ind w:firstLineChars="200" w:firstLine="560"/>
        <w:jc w:val="both"/>
        <w:rPr>
          <w:rFonts w:ascii="仿宋_GB2312" w:eastAsia="仿宋_GB2312" w:cs="仿宋_GB2312"/>
          <w:color w:val="000000"/>
          <w:szCs w:val="28"/>
          <w14:textFill>
            <w14:solidFill>
              <w14:srgbClr w14:val="000000"/>
            </w14:solidFill>
          </w14:textFill>
          <w:lang w:val="en-US"/>
        </w:rPr>
      </w:pPr>
      <w:r>
        <w:rPr>
          <w:rFonts w:ascii="仿宋_GB2312" w:eastAsia="仿宋_GB2312" w:cs="仿宋_GB2312" w:hint="eastAsia"/>
          <w:color w:val="000000"/>
          <w:szCs w:val="28"/>
          <w14:textFill>
            <w14:solidFill>
              <w14:srgbClr w14:val="000000"/>
            </w14:solidFill>
          </w14:textFill>
          <w:lang w:val="en-US"/>
        </w:rPr>
        <w:t>（五）股权融资是指公司股东稀释部分公司股权给投资人，以增资扩股的方式引进新的股东，从而取得公司融资的方式。</w:t>
      </w:r>
    </w:p>
    <w:p>
      <w:pPr>
        <w:adjustRightInd w:val="0"/>
        <w:snapToGrid w:val="0"/>
        <w:spacing w:line="560" w:lineRule="exact"/>
        <w:ind w:firstLineChars="200" w:firstLine="56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（六）股权融资协议中需明确股权融资比例、投资方信息和融资金额。</w:t>
      </w:r>
    </w:p>
    <w:p>
      <w:pPr>
        <w:adjustRightInd w:val="0"/>
        <w:snapToGrid w:val="0"/>
        <w:spacing w:line="560" w:lineRule="exact"/>
        <w:ind w:firstLineChars="200" w:firstLine="56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（七）上市进度主要分为中介机构对接阶段、企业改制阶段、上市冲刺阶段。</w:t>
      </w:r>
    </w:p>
    <w:p>
      <w:pPr>
        <w:adjustRightInd w:val="0"/>
        <w:snapToGrid w:val="0"/>
        <w:spacing w:line="560" w:lineRule="exact"/>
        <w:ind w:firstLineChars="200" w:firstLine="56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中介机构对接阶段证明材料：包括但不限于与保荐机构或者挂牌券商签订的与上市或挂牌相关的服务协议等。</w:t>
      </w:r>
    </w:p>
    <w:p>
      <w:pPr>
        <w:adjustRightInd w:val="0"/>
        <w:snapToGrid w:val="0"/>
        <w:spacing w:line="560" w:lineRule="exact"/>
        <w:ind w:firstLineChars="200" w:firstLine="56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企业改制阶段证明材料：包括但不限于工商变更文件等。</w:t>
      </w:r>
    </w:p>
    <w:p>
      <w:pPr>
        <w:adjustRightInd w:val="0"/>
        <w:snapToGrid w:val="0"/>
        <w:spacing w:line="560" w:lineRule="exact"/>
        <w:ind w:firstLineChars="200" w:firstLine="56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上市冲刺阶段证明材料：包括但不限于上市申请受理函、证监会、交易所或市证监局辅导备案登记受理函、辅导验证通过等资料。</w:t>
      </w:r>
    </w:p>
    <w:p>
      <w:pPr>
        <w:adjustRightInd w:val="0"/>
        <w:snapToGrid w:val="0"/>
        <w:spacing w:line="560" w:lineRule="exact"/>
        <w:ind w:firstLineChars="200" w:firstLine="56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八）所获政府颁发的荣誉资质是指工信部专精特新小巨人、北京市专精特新中小企业、国家级或市级企业技术中心、国家级或市级企业工程技术研究中心、院士专家工作站、博士后工作站、隐形冠军、制造业单项冠军企业（产品）或由权威机构发布的独角兽榜单企业。</w:t>
      </w:r>
    </w:p>
    <w:p>
      <w:pPr>
        <w:adjustRightInd w:val="0"/>
        <w:snapToGrid w:val="0"/>
        <w:spacing w:line="560" w:lineRule="exact"/>
        <w:ind w:firstLineChars="200" w:firstLine="560"/>
        <w:jc w:val="both"/>
        <w:rPr>
          <w:rFonts w:ascii="仿宋_GB2312" w:eastAsia="仿宋_GB2312" w:cs="仿宋_GB2312"/>
          <w:color w:val="000000"/>
          <w:sz w:val="28"/>
          <w:szCs w:val="28"/>
          <w14:textFill>
            <w14:solidFill>
              <w14:srgbClr w14:val="000000"/>
            </w14:solidFill>
          </w14:textFill>
          <w:lang w:val="en-US"/>
        </w:rPr>
      </w:pPr>
      <w:r>
        <w:rPr>
          <w:rFonts w:ascii="仿宋_GB2312" w:eastAsia="仿宋_GB2312" w:cs="仿宋_GB2312" w:hint="eastAsia"/>
          <w:color w:val="000000"/>
          <w:sz w:val="28"/>
          <w:szCs w:val="28"/>
          <w14:textFill>
            <w14:solidFill>
              <w14:srgbClr w14:val="000000"/>
            </w14:solidFill>
          </w14:textFill>
          <w:lang w:val="en-US"/>
        </w:rPr>
        <w:t>（九）重大科技项目证明材料包括已签订的科技计划项目任务书等。</w:t>
      </w:r>
    </w:p>
    <w:p>
      <w:bookmarkStart w:id="0" w:name="_GoBack"/>
      <w:bookmarkEnd w:id="0"/>
    </w:p>
    <w:sectPr>
      <w:pgSz w:w="11907" w:h="16839"/>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auto"/>
    <w:pitch w:val="variable"/>
    <w:sig w:usb0="00000A87" w:usb1="00000000" w:usb2="00000000" w:usb3="00000000" w:csb0="400001BF" w:csb1="DFF70000"/>
  </w:font>
  <w:font w:name="黑体">
    <w:panose1 w:val="02010600030101010101"/>
    <w:charset w:val="86"/>
    <w:family w:val="auto"/>
    <w:pitch w:val="variable"/>
    <w:sig w:usb0="00000001" w:usb1="080E0000" w:usb2="00000000" w:usb3="00000000" w:csb0="00040000" w:csb1="00000000"/>
  </w:font>
  <w:font w:name="方正小标宋简体">
    <w:panose1 w:val="00000000000000000000"/>
    <w:charset w:val="00"/>
    <w:family w:val="auto"/>
    <w:pitch w:val="variable"/>
    <w:sig w:usb0="00000000" w:usb1="00000000" w:usb2="00000000" w:usb3="00000000" w:csb0="00000000" w:csb1="00000000"/>
  </w:font>
  <w:font w:name="仿宋_GB2312">
    <w:panose1 w:val="00000000000000000000"/>
    <w:charset w:val="00"/>
    <w:family w:val="auto"/>
    <w:pitch w:val="variable"/>
    <w:sig w:usb0="00000000" w:usb1="00000000" w:usb2="00000000" w:usb3="00000000" w:csb0="00000000" w:csb1="00000000"/>
  </w:font>
  <w:font w:name="宋体">
    <w:panose1 w:val="02010600030101010101"/>
    <w:charset w:val="86"/>
    <w:family w:val="auto"/>
    <w:pitch w:val="variable"/>
    <w:sig w:usb0="00000003" w:usb1="080E0000" w:usb2="00000000" w:usb3="00000000" w:csb0="00040001" w:csb1="00000000"/>
  </w:font>
  <w:font w:name="Verdana">
    <w:panose1 w:val="020B0604030504040204"/>
    <w:charset w:val="00"/>
    <w:family w:val="auto"/>
    <w:pitch w:val="variable"/>
    <w:sig w:usb0="A10006FF" w:usb1="4000205B" w:usb2="00000010" w:usb3="00000000" w:csb0="2000019F" w:csb1="00000000"/>
  </w:font>
  <w:font w:name="Arial">
    <w:panose1 w:val="020B0604020202020204"/>
    <w:charset w:val="00"/>
    <w:family w:val="auto"/>
    <w:pitch w:val="variable"/>
    <w:sig w:usb0="00007A87" w:usb1="80000000" w:usb2="00000008" w:usb3="00000000" w:csb0="400001FF" w:csb1="FFFF0000"/>
  </w:font>
  <w:font w:name="Calibri">
    <w:panose1 w:val="020F0502020204030204"/>
    <w:charset w:val="00"/>
    <w:family w:val="auto"/>
    <w:pitch w:val="variable"/>
    <w:sig w:usb0="E00002FF" w:usb1="4000ACFF" w:usb2="00000001" w:usb3="00000000" w:csb0="2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0"/>
  <w:displayBackgroundShape/>
  <w:bordersDoNotSurroundHeader/>
  <w:bordersDoNotSurroundFooter/>
  <w:defaultTabStop w:val="420"/>
  <w:drawingGridHorizontalSpacing w:val="100"/>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qFormat/>
    <w:rPr>
      <w:rFonts w:ascii="Verdana" w:eastAsia="宋体" w:cs="Arial" w:hAnsi="Verdana"/>
      <w:sz w:val="20"/>
      <w:szCs w:val="22"/>
      <w:lang w:val="en-GB" w:eastAsia="zh-CN" w:bidi="ar-SA"/>
    </w:rPr>
  </w:style>
  <w:style w:type="paragraph" w:styleId="1">
    <w:name w:val="heading 1"/>
    <w:qFormat/>
    <w:basedOn w:val="0"/>
    <w:next w:val="0"/>
    <w:pPr>
      <w:keepNext/>
      <w:keepLines/>
      <w:spacing w:before="340" w:after="330" w:line="578" w:lineRule="auto"/>
      <w:outlineLvl w:val="0"/>
    </w:pPr>
    <w:rPr>
      <w:b/>
      <w:kern w:val="44"/>
      <w:sz w:val="44"/>
    </w:rPr>
  </w:style>
  <w:style w:type="paragraph" w:styleId="2">
    <w:name w:val="heading 2"/>
    <w:qFormat/>
    <w:basedOn w:val="0"/>
    <w:next w:val="0"/>
    <w:pPr>
      <w:keepNext/>
      <w:keepLines/>
      <w:spacing w:before="260" w:after="260" w:line="415" w:lineRule="auto"/>
      <w:outlineLvl w:val="1"/>
    </w:pPr>
    <w:rPr>
      <w:rFonts w:ascii="Arial" w:eastAsia="黑体" w:hAnsi="Arial"/>
      <w:b/>
      <w:sz w:val="32"/>
    </w:rPr>
  </w:style>
  <w:style w:type="paragraph" w:styleId="3">
    <w:name w:val="heading 3"/>
    <w:qFormat/>
    <w:basedOn w:val="0"/>
    <w:next w:val="0"/>
    <w:pPr>
      <w:keepNext/>
      <w:keepLines/>
      <w:spacing w:before="260" w:after="260" w:line="415" w:lineRule="auto"/>
      <w:outlineLvl w:val="2"/>
    </w:pPr>
    <w:rPr>
      <w:b/>
      <w:sz w:val="32"/>
    </w:rPr>
  </w:style>
  <w:style w:type="character" w:default="1" w:styleId="10">
    <w:name w:val="Default Paragraph Font"/>
    <w:qFormat/>
  </w:style>
  <w:style w:type="paragraph" w:styleId="23">
    <w:name w:val="toc 4"/>
    <w:qFormat/>
    <w:basedOn w:val="0"/>
    <w:autoRedefine/>
    <w:next w:val="0"/>
    <w:pPr>
      <w:ind w:left="1260"/>
    </w:pPr>
  </w:style>
  <w:style w:type="paragraph" w:styleId="82">
    <w:name w:val="Body Text Indent 2"/>
    <w:qFormat/>
    <w:next w:val="18"/>
    <w:pPr>
      <w:spacing w:line="560" w:lineRule="exact"/>
      <w:ind w:firstLine="570"/>
    </w:pPr>
    <w:rPr>
      <w:rFonts w:ascii="宋体" w:eastAsia="宋体" w:cs="Arial"/>
      <w:sz w:val="28"/>
      <w:szCs w:val="22"/>
      <w:lang w:val="en-GB" w:eastAsia="zh-CN" w:bidi="ar-SA"/>
    </w:rPr>
  </w:style>
  <w:style w:type="paragraph" w:customStyle="1" w:styleId="133">
    <w:name w:val="无间隔1"/>
    <w:qFormat/>
    <w:pPr>
      <w:spacing w:line="360" w:lineRule="auto"/>
    </w:pPr>
    <w:rPr>
      <w:rFonts w:ascii="Calibri" w:eastAsia="宋体" w:cs="Times New Roman" w:hAnsi="Calibri"/>
      <w:sz w:val="18"/>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18</TotalTime>
  <Application>Yozo_Office27021597764231180</Application>
  <Pages>2</Pages>
  <Words>0</Words>
  <Characters>559</Characters>
  <Lines>0</Lines>
  <Paragraphs>16</Paragraphs>
  <CharactersWithSpaces>746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123</dc:creator>
  <cp:lastModifiedBy>123</cp:lastModifiedBy>
  <cp:revision>1</cp:revision>
  <dcterms:created xsi:type="dcterms:W3CDTF">2023-08-21T08:23:23Z</dcterms:created>
  <dcterms:modified xsi:type="dcterms:W3CDTF">2023-08-21T08:42:20Z</dcterms:modified>
</cp:coreProperties>
</file>