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7DC" w:rsidRDefault="00BF2F9F">
      <w:pPr>
        <w:spacing w:line="560" w:lineRule="exact"/>
        <w:rPr>
          <w:rFonts w:ascii="黑体" w:eastAsia="黑体" w:hAnsi="黑体"/>
          <w:kern w:val="0"/>
          <w:sz w:val="32"/>
          <w:szCs w:val="32"/>
        </w:rPr>
      </w:pPr>
      <w:r>
        <w:rPr>
          <w:rFonts w:ascii="黑体" w:eastAsia="黑体" w:hAnsi="黑体" w:hint="eastAsia"/>
          <w:kern w:val="0"/>
          <w:sz w:val="32"/>
          <w:szCs w:val="32"/>
        </w:rPr>
        <w:t>附件</w:t>
      </w:r>
      <w:r w:rsidR="0085540A">
        <w:rPr>
          <w:rFonts w:ascii="黑体" w:eastAsia="黑体" w:hAnsi="黑体" w:hint="eastAsia"/>
          <w:kern w:val="0"/>
          <w:sz w:val="32"/>
          <w:szCs w:val="32"/>
        </w:rPr>
        <w:t>：</w:t>
      </w:r>
    </w:p>
    <w:p w:rsidR="007617DC" w:rsidRDefault="00BF2F9F">
      <w:pPr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东城</w:t>
      </w:r>
      <w:proofErr w:type="gramStart"/>
      <w:r>
        <w:rPr>
          <w:rFonts w:eastAsia="方正小标宋简体"/>
          <w:kern w:val="0"/>
          <w:sz w:val="44"/>
          <w:szCs w:val="44"/>
        </w:rPr>
        <w:t>区促进</w:t>
      </w:r>
      <w:proofErr w:type="gramEnd"/>
      <w:r>
        <w:rPr>
          <w:rFonts w:eastAsia="方正小标宋简体"/>
          <w:kern w:val="0"/>
          <w:sz w:val="44"/>
          <w:szCs w:val="44"/>
        </w:rPr>
        <w:t>中小企业创新发展的若干措施</w:t>
      </w:r>
    </w:p>
    <w:p w:rsidR="007617DC" w:rsidRDefault="00BF2F9F">
      <w:pPr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 w:hint="eastAsia"/>
          <w:kern w:val="0"/>
          <w:sz w:val="44"/>
          <w:szCs w:val="44"/>
        </w:rPr>
        <w:t>（修订</w:t>
      </w:r>
      <w:r w:rsidR="004F0A2F">
        <w:rPr>
          <w:rFonts w:eastAsia="方正小标宋简体" w:hint="eastAsia"/>
          <w:kern w:val="0"/>
          <w:sz w:val="44"/>
          <w:szCs w:val="44"/>
        </w:rPr>
        <w:t>征求意见</w:t>
      </w:r>
      <w:r>
        <w:rPr>
          <w:rFonts w:eastAsia="方正小标宋简体" w:hint="eastAsia"/>
          <w:kern w:val="0"/>
          <w:sz w:val="44"/>
          <w:szCs w:val="44"/>
        </w:rPr>
        <w:t>稿）</w:t>
      </w:r>
    </w:p>
    <w:p w:rsidR="007617DC" w:rsidRDefault="007617DC">
      <w:pPr>
        <w:spacing w:line="560" w:lineRule="exact"/>
        <w:jc w:val="center"/>
        <w:rPr>
          <w:rFonts w:eastAsia="方正小标宋简体"/>
          <w:kern w:val="0"/>
          <w:sz w:val="44"/>
          <w:szCs w:val="44"/>
        </w:rPr>
      </w:pP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bookmarkStart w:id="0" w:name="_Hlk110243558"/>
      <w:r>
        <w:rPr>
          <w:rFonts w:ascii="仿宋_GB2312" w:eastAsia="仿宋_GB2312" w:hAnsi="仿宋" w:hint="eastAsia"/>
          <w:sz w:val="32"/>
          <w:szCs w:val="32"/>
        </w:rPr>
        <w:t>为有效激发中小企业经济活力，促进中小企业创新发展，根据《北京市促进中小企业发展条例》、《北京市关于促进“专精特新”中小企业高质量发展的若干措施》等文件精神，结合东城区实际，提出如下措施。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bookmarkStart w:id="1" w:name="_Hlk110243217"/>
      <w:bookmarkEnd w:id="0"/>
      <w:r>
        <w:rPr>
          <w:rFonts w:ascii="黑体" w:eastAsia="黑体" w:hAnsi="黑体"/>
          <w:sz w:val="32"/>
          <w:szCs w:val="32"/>
        </w:rPr>
        <w:t>第一条</w:t>
      </w:r>
      <w:r>
        <w:rPr>
          <w:rFonts w:ascii="仿宋" w:eastAsia="仿宋" w:hAnsi="仿宋"/>
          <w:sz w:val="32"/>
          <w:szCs w:val="32"/>
        </w:rPr>
        <w:t xml:space="preserve">  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本措施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适用于依法在本行政区域内完成各项注册手续，符合东城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区产业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发展方向的中小企业。重点鼓励数字经济、金融业、文化产业、商务服务业、健康产业等领域的中小企业创新发展。</w:t>
      </w:r>
    </w:p>
    <w:p w:rsidR="007617DC" w:rsidRDefault="00BF2F9F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一、培育专精特新中小企业发展</w:t>
      </w:r>
    </w:p>
    <w:p w:rsidR="007617DC" w:rsidRDefault="00BF2F9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第二条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sz w:val="32"/>
          <w:szCs w:val="32"/>
        </w:rPr>
        <w:t>为专精特新中小企业提供发展资金支持，鼓励企业创新发展、优化升级，培育好专精特新中小企业。对新认定或新迁入的国家级专精特新“小巨人”企业，给予一次性奖励80万元；对新认定或新迁入的省级专精特新中小企业，给予一次性奖励10万元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第三条</w:t>
      </w:r>
      <w:r>
        <w:rPr>
          <w:rFonts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" w:hint="eastAsia"/>
          <w:bCs/>
          <w:sz w:val="32"/>
          <w:szCs w:val="32"/>
        </w:rPr>
        <w:t>对专精特新中小企业提供租房补贴。</w:t>
      </w:r>
      <w:r>
        <w:rPr>
          <w:rFonts w:ascii="仿宋_GB2312" w:eastAsia="仿宋_GB2312" w:hAnsi="仿宋" w:hint="eastAsia"/>
          <w:sz w:val="32"/>
          <w:szCs w:val="32"/>
        </w:rPr>
        <w:t>新</w:t>
      </w:r>
      <w:r>
        <w:rPr>
          <w:rFonts w:ascii="仿宋_GB2312" w:eastAsia="仿宋_GB2312" w:hAnsi="仿宋" w:hint="eastAsia"/>
          <w:bCs/>
          <w:sz w:val="32"/>
          <w:szCs w:val="32"/>
        </w:rPr>
        <w:t>认定或新迁入东城区的专精特新中小企业，租用东城区内办公用房开展实际经营且</w:t>
      </w:r>
      <w:r>
        <w:rPr>
          <w:rFonts w:ascii="仿宋_GB2312" w:eastAsia="仿宋_GB2312" w:hAnsi="仿宋" w:hint="eastAsia"/>
          <w:sz w:val="32"/>
          <w:szCs w:val="32"/>
        </w:rPr>
        <w:t>第一个完整财政年度实际</w:t>
      </w:r>
      <w:r>
        <w:rPr>
          <w:rFonts w:ascii="仿宋_GB2312" w:eastAsia="仿宋_GB2312" w:hAnsi="仿宋" w:hint="eastAsia"/>
          <w:bCs/>
          <w:sz w:val="32"/>
          <w:szCs w:val="32"/>
        </w:rPr>
        <w:t>营业收入达到2亿元（含）以上的，按照年房屋租金20%的标准，给予不超过100万元的一次性租房补贴，最高补贴租用面积不超过3000平方米。企业享受补贴期间，不得将办公用房出租、转租或改变其用途。违反此项规定的，应退还已获得的租房补贴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 xml:space="preserve">第四条 </w:t>
      </w: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对新认定或新迁入的国家级高新技术企业，给予不超过10万元的一次性资金奖励。</w:t>
      </w:r>
    </w:p>
    <w:p w:rsidR="007617DC" w:rsidRDefault="00BF2F9F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t>二、</w:t>
      </w:r>
      <w:r>
        <w:rPr>
          <w:rFonts w:ascii="黑体" w:eastAsia="黑体" w:hAnsi="黑体" w:hint="eastAsia"/>
          <w:sz w:val="32"/>
          <w:szCs w:val="32"/>
        </w:rPr>
        <w:t>支持中小企业自主创新</w:t>
      </w:r>
    </w:p>
    <w:bookmarkEnd w:id="1"/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五</w:t>
      </w:r>
      <w:r>
        <w:rPr>
          <w:rFonts w:eastAsia="黑体"/>
          <w:sz w:val="32"/>
          <w:szCs w:val="32"/>
        </w:rPr>
        <w:t>条</w:t>
      </w:r>
      <w:r>
        <w:rPr>
          <w:rFonts w:eastAsia="仿宋_GB2312"/>
          <w:bCs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bCs/>
          <w:sz w:val="32"/>
          <w:szCs w:val="32"/>
        </w:rPr>
        <w:t xml:space="preserve"> 提升科技创新能力。支持中小企业与高等院校、科研院所开展产学研用合作，鼓励中小企业独立或者联合大企业承担科技重大专项、科技基础设施建设、各类科技计划项目和高新技术产业化项目，给予中小企业政策和资金支持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ascii="仿宋_GB2312" w:eastAsia="仿宋_GB2312" w:hAnsi="仿宋" w:hint="eastAsia"/>
          <w:bCs/>
          <w:sz w:val="32"/>
          <w:szCs w:val="32"/>
        </w:rPr>
        <w:t>（一）独立或与高等院校、科研院所开展产学研用合作，并获得发明专利证书的，每件给予1万元奖励，对获得多项发明专利的企业每年最高支持不超过20万元；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（二）获得“北京市发明专利奖”的，按照评比等级，给予一等奖15万元，二等奖8万元，三等奖3万元奖励；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（三）获得“北京市科学技术奖”的，按照北京市颁发奖金的50%给予一次性区级配套奖励；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（四）获得“北京市企业科技研发机构”或“北京市企业技术中心”认定的，给予一次性奖励50万元；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（五）牵头或主导制定标准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且标准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于本年度正式发布执行的，给予资金奖励；</w:t>
      </w:r>
      <w:r>
        <w:rPr>
          <w:rFonts w:ascii="仿宋_GB2312" w:eastAsia="仿宋_GB2312" w:hAnsi="仿宋" w:hint="eastAsia"/>
          <w:bCs/>
          <w:sz w:val="32"/>
          <w:szCs w:val="32"/>
        </w:rPr>
        <w:t>属国际标准的给予奖励100万元</w:t>
      </w:r>
      <w:r>
        <w:rPr>
          <w:rFonts w:ascii="仿宋_GB2312" w:eastAsia="仿宋_GB2312" w:hAnsi="仿宋" w:hint="eastAsia"/>
          <w:b/>
          <w:bCs/>
          <w:sz w:val="32"/>
          <w:szCs w:val="32"/>
        </w:rPr>
        <w:t>，</w:t>
      </w:r>
      <w:r>
        <w:rPr>
          <w:rFonts w:ascii="仿宋_GB2312" w:eastAsia="仿宋_GB2312" w:hAnsi="仿宋" w:hint="eastAsia"/>
          <w:sz w:val="32"/>
          <w:szCs w:val="32"/>
        </w:rPr>
        <w:t>属国家标准的给予50万元奖励，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属行业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标准的给予30万元奖励；属于团体标准的给予10</w:t>
      </w:r>
      <w:r w:rsidR="00257732">
        <w:rPr>
          <w:rFonts w:ascii="仿宋_GB2312" w:eastAsia="仿宋_GB2312" w:hAnsi="仿宋" w:hint="eastAsia"/>
          <w:sz w:val="32"/>
          <w:szCs w:val="32"/>
        </w:rPr>
        <w:t>万元奖励。</w:t>
      </w:r>
    </w:p>
    <w:p w:rsidR="007617DC" w:rsidRDefault="00BF2F9F">
      <w:pPr>
        <w:spacing w:line="560" w:lineRule="exact"/>
        <w:jc w:val="center"/>
        <w:rPr>
          <w:rFonts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优化中小企业金融服务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pacing w:val="-4"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六</w:t>
      </w:r>
      <w:r>
        <w:rPr>
          <w:rFonts w:eastAsia="黑体"/>
          <w:sz w:val="32"/>
          <w:szCs w:val="32"/>
        </w:rPr>
        <w:t>条</w:t>
      </w:r>
      <w:r>
        <w:rPr>
          <w:rFonts w:eastAsia="黑体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pacing w:val="-4"/>
          <w:sz w:val="32"/>
          <w:szCs w:val="32"/>
        </w:rPr>
        <w:t>降低企业融资成本。为加大融资支持力度，减少融资过程中的附加费用，对区内</w:t>
      </w:r>
      <w:r>
        <w:rPr>
          <w:rFonts w:ascii="仿宋_GB2312" w:eastAsia="仿宋_GB2312" w:hAnsi="仿宋" w:hint="eastAsia"/>
          <w:sz w:val="32"/>
          <w:szCs w:val="32"/>
        </w:rPr>
        <w:t>符合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本措施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产业发展方向的中小企业给予</w:t>
      </w:r>
      <w:r>
        <w:rPr>
          <w:rFonts w:ascii="仿宋_GB2312" w:eastAsia="仿宋_GB2312" w:hAnsi="仿宋" w:hint="eastAsia"/>
          <w:spacing w:val="-4"/>
          <w:sz w:val="32"/>
          <w:szCs w:val="32"/>
        </w:rPr>
        <w:t>贷</w:t>
      </w:r>
      <w:r>
        <w:rPr>
          <w:rFonts w:ascii="仿宋_GB2312" w:eastAsia="仿宋_GB2312" w:hAnsi="仿宋" w:hint="eastAsia"/>
          <w:spacing w:val="-4"/>
          <w:sz w:val="32"/>
          <w:szCs w:val="32"/>
        </w:rPr>
        <w:lastRenderedPageBreak/>
        <w:t>款和担保</w:t>
      </w:r>
      <w:r>
        <w:rPr>
          <w:rFonts w:ascii="仿宋_GB2312" w:eastAsia="仿宋_GB2312" w:hAnsi="仿宋" w:hint="eastAsia"/>
          <w:bCs/>
          <w:sz w:val="32"/>
          <w:szCs w:val="32"/>
        </w:rPr>
        <w:t>资金支持。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（一）同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一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年度内，向北京市</w:t>
      </w:r>
      <w:r w:rsidR="0070352A">
        <w:rPr>
          <w:rFonts w:ascii="仿宋_GB2312" w:eastAsia="仿宋_GB2312" w:hAnsi="仿宋" w:hint="eastAsia"/>
          <w:sz w:val="32"/>
          <w:szCs w:val="32"/>
        </w:rPr>
        <w:t>辖区</w:t>
      </w:r>
      <w:r>
        <w:rPr>
          <w:rFonts w:ascii="仿宋_GB2312" w:eastAsia="仿宋_GB2312" w:hAnsi="仿宋" w:hint="eastAsia"/>
          <w:sz w:val="32"/>
          <w:szCs w:val="32"/>
        </w:rPr>
        <w:t>内</w:t>
      </w:r>
      <w:r w:rsidR="0070352A">
        <w:rPr>
          <w:rFonts w:ascii="仿宋_GB2312" w:eastAsia="仿宋_GB2312" w:hAnsi="仿宋" w:hint="eastAsia"/>
          <w:sz w:val="32"/>
          <w:szCs w:val="32"/>
        </w:rPr>
        <w:t>注册经营的</w:t>
      </w:r>
      <w:bookmarkStart w:id="2" w:name="_GoBack"/>
      <w:bookmarkEnd w:id="2"/>
      <w:r>
        <w:rPr>
          <w:rFonts w:ascii="仿宋_GB2312" w:eastAsia="仿宋_GB2312" w:hAnsi="仿宋" w:hint="eastAsia"/>
          <w:sz w:val="32"/>
          <w:szCs w:val="32"/>
        </w:rPr>
        <w:t>银行申请与生产经营相关贷款的，</w:t>
      </w:r>
      <w:r>
        <w:rPr>
          <w:rFonts w:ascii="仿宋_GB2312" w:eastAsia="仿宋_GB2312" w:hAnsi="仿宋" w:hint="eastAsia"/>
          <w:bCs/>
          <w:sz w:val="32"/>
          <w:szCs w:val="32"/>
        </w:rPr>
        <w:t>对实际支</w:t>
      </w:r>
      <w:r>
        <w:rPr>
          <w:rFonts w:ascii="仿宋_GB2312" w:eastAsia="仿宋_GB2312" w:hAnsi="仿宋" w:hint="eastAsia"/>
          <w:sz w:val="32"/>
          <w:szCs w:val="32"/>
        </w:rPr>
        <w:t>付不高于贷款市场报价利率（LPR）的</w:t>
      </w:r>
      <w:r>
        <w:rPr>
          <w:rFonts w:ascii="仿宋_GB2312" w:eastAsia="仿宋_GB2312" w:hAnsi="仿宋" w:hint="eastAsia"/>
          <w:bCs/>
          <w:sz w:val="32"/>
          <w:szCs w:val="32"/>
        </w:rPr>
        <w:t>利息，首次申请</w:t>
      </w:r>
      <w:r>
        <w:rPr>
          <w:rFonts w:ascii="仿宋_GB2312" w:eastAsia="仿宋_GB2312" w:hAnsi="仿宋" w:hint="eastAsia"/>
          <w:sz w:val="32"/>
          <w:szCs w:val="32"/>
        </w:rPr>
        <w:t>给予20%的贴息补助，再</w:t>
      </w:r>
      <w:r>
        <w:rPr>
          <w:rFonts w:ascii="仿宋_GB2312" w:eastAsia="仿宋_GB2312" w:hAnsi="仿宋" w:hint="eastAsia"/>
          <w:bCs/>
          <w:sz w:val="32"/>
          <w:szCs w:val="32"/>
        </w:rPr>
        <w:t>次申请</w:t>
      </w:r>
      <w:r>
        <w:rPr>
          <w:rFonts w:ascii="仿宋_GB2312" w:eastAsia="仿宋_GB2312" w:hAnsi="仿宋" w:hint="eastAsia"/>
          <w:sz w:val="32"/>
          <w:szCs w:val="32"/>
        </w:rPr>
        <w:t>给予30%的贴息补助，同时纳入贴息补助范畴的贷款性质需为流动资金贷款，每家企业补贴额不超过100万元；向北京市内注册的担保公司申请贷款担保，对企业实际支付给担保机构的服务费给予30%补贴，每家企业补贴额不超过20万元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（二）鼓励中小企业以知识产权质押方式向金融机构贷款，对成功贷款并还款完毕的，按照其融资成本（包括贷款利息、评估费、担保费）的30%进行补贴，每家企业最高补贴不超过100万元。</w:t>
      </w:r>
      <w:r>
        <w:rPr>
          <w:rFonts w:eastAsia="仿宋_GB2312"/>
          <w:sz w:val="32"/>
          <w:szCs w:val="32"/>
        </w:rPr>
        <w:t>加大产业引导基金扶持力度，鼓励东城</w:t>
      </w:r>
      <w:proofErr w:type="gramStart"/>
      <w:r>
        <w:rPr>
          <w:rFonts w:eastAsia="仿宋_GB2312"/>
          <w:sz w:val="32"/>
          <w:szCs w:val="32"/>
        </w:rPr>
        <w:t>区产业</w:t>
      </w:r>
      <w:proofErr w:type="gramEnd"/>
      <w:r>
        <w:rPr>
          <w:rFonts w:eastAsia="仿宋_GB2312"/>
          <w:sz w:val="32"/>
          <w:szCs w:val="32"/>
        </w:rPr>
        <w:t>引导基金向符合区域发展规划、高精尖产业发展方向的中小企业倾斜</w:t>
      </w:r>
      <w:r>
        <w:rPr>
          <w:rFonts w:eastAsia="仿宋_GB2312" w:hint="eastAsia"/>
          <w:sz w:val="32"/>
          <w:szCs w:val="32"/>
        </w:rPr>
        <w:t>，鼓励支持有发展前景的中小企业上市</w:t>
      </w:r>
      <w:r>
        <w:rPr>
          <w:rFonts w:eastAsia="仿宋_GB2312"/>
          <w:sz w:val="32"/>
          <w:szCs w:val="32"/>
        </w:rPr>
        <w:t>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上述补贴不重复享受。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七</w:t>
      </w:r>
      <w:r>
        <w:rPr>
          <w:rFonts w:eastAsia="黑体"/>
          <w:sz w:val="32"/>
          <w:szCs w:val="32"/>
        </w:rPr>
        <w:t>条</w:t>
      </w:r>
      <w:r>
        <w:rPr>
          <w:rFonts w:eastAsia="黑体" w:hint="eastAsia"/>
          <w:sz w:val="32"/>
          <w:szCs w:val="32"/>
        </w:rPr>
        <w:t xml:space="preserve"> </w:t>
      </w:r>
      <w:r>
        <w:rPr>
          <w:rFonts w:eastAsia="黑体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支持企业融资发展。获得投资机构所开展基金投资的中小企业，且年度融资额达到1亿元（含）以上的，按照融资总额0.5%给予奖励，奖励金额不超过100万元。</w:t>
      </w:r>
    </w:p>
    <w:p w:rsidR="007617DC" w:rsidRDefault="00BF2F9F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cs="黑体" w:hint="eastAsia"/>
          <w:bCs/>
          <w:sz w:val="32"/>
          <w:szCs w:val="32"/>
        </w:rPr>
        <w:t>鼓励中小企业做大做强</w:t>
      </w:r>
    </w:p>
    <w:p w:rsidR="007617DC" w:rsidRDefault="00BF2F9F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eastAsia="黑体" w:hint="eastAsia"/>
          <w:sz w:val="32"/>
          <w:szCs w:val="32"/>
        </w:rPr>
        <w:t>第八</w:t>
      </w:r>
      <w:r>
        <w:rPr>
          <w:rFonts w:eastAsia="黑体"/>
          <w:sz w:val="32"/>
          <w:szCs w:val="32"/>
        </w:rPr>
        <w:t>条</w:t>
      </w:r>
      <w:r>
        <w:rPr>
          <w:rFonts w:eastAsia="黑体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鼓励企业高质量持续发展。符合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本措施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产业发展方向的中小企业，连续两年营业收入均增长率达到20%（含）以上的，且每年主营业务收入不低于1500万元，给予一次性奖励30万元。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eastAsia="黑体" w:hint="eastAsia"/>
          <w:sz w:val="32"/>
          <w:szCs w:val="32"/>
        </w:rPr>
        <w:t>第九条</w:t>
      </w:r>
      <w:r>
        <w:rPr>
          <w:rFonts w:eastAsia="黑体" w:hint="eastAsia"/>
          <w:sz w:val="32"/>
          <w:szCs w:val="32"/>
        </w:rPr>
        <w:t xml:space="preserve"> </w:t>
      </w:r>
      <w:r>
        <w:rPr>
          <w:rFonts w:eastAsia="黑体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sz w:val="32"/>
          <w:szCs w:val="32"/>
        </w:rPr>
        <w:t>鼓励企业扩展国内外市场。鼓励驻区中小企业积极参加</w:t>
      </w:r>
      <w:r>
        <w:rPr>
          <w:rFonts w:ascii="仿宋_GB2312" w:eastAsia="仿宋_GB2312" w:hAnsi="仿宋" w:hint="eastAsia"/>
          <w:sz w:val="32"/>
          <w:szCs w:val="32"/>
        </w:rPr>
        <w:lastRenderedPageBreak/>
        <w:t>政府支持和组织的国内外大型展会活动</w:t>
      </w:r>
      <w:r>
        <w:rPr>
          <w:rFonts w:ascii="仿宋_GB2312" w:eastAsia="仿宋_GB2312" w:hAnsi="仿宋" w:hint="eastAsia"/>
          <w:bCs/>
          <w:sz w:val="32"/>
          <w:szCs w:val="32"/>
        </w:rPr>
        <w:t>（省级或以上备案审批的）</w:t>
      </w:r>
      <w:r>
        <w:rPr>
          <w:rFonts w:ascii="仿宋_GB2312" w:eastAsia="仿宋_GB2312" w:hAnsi="仿宋" w:hint="eastAsia"/>
          <w:sz w:val="32"/>
          <w:szCs w:val="32"/>
        </w:rPr>
        <w:t>，对线上参展企业实际支付报名费或虚拟展位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费给予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30%的补贴，每家企业补贴额不超过10万元；对线下参展企业实际支付展位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费给予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30%的补贴，每家企业补贴额不超过20万元；“一带一路”国家及新兴市场重点展会的展位费每家企业补贴额不超过30万元。</w:t>
      </w:r>
    </w:p>
    <w:p w:rsidR="007617DC" w:rsidRDefault="00BF2F9F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五、促进中小企业服务平台建设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十</w:t>
      </w:r>
      <w:r>
        <w:rPr>
          <w:rFonts w:eastAsia="黑体"/>
          <w:sz w:val="32"/>
          <w:szCs w:val="32"/>
        </w:rPr>
        <w:t>条</w:t>
      </w:r>
      <w:r>
        <w:rPr>
          <w:rFonts w:eastAsia="黑体" w:hint="eastAsia"/>
          <w:sz w:val="32"/>
          <w:szCs w:val="32"/>
        </w:rPr>
        <w:t xml:space="preserve"> </w:t>
      </w:r>
      <w:r>
        <w:rPr>
          <w:rFonts w:eastAsia="黑体"/>
          <w:sz w:val="32"/>
          <w:szCs w:val="32"/>
        </w:rPr>
        <w:t xml:space="preserve"> </w:t>
      </w:r>
      <w:r>
        <w:rPr>
          <w:rFonts w:ascii="仿宋_GB2312" w:eastAsia="仿宋_GB2312" w:hAnsi="仿宋" w:hint="eastAsia"/>
          <w:bCs/>
          <w:sz w:val="32"/>
          <w:szCs w:val="32"/>
        </w:rPr>
        <w:t>优化中小企业平台服务质量。加强服务平台培育与建设，为中小企业发展提供良好条件和环境。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（一）对新获得北京市中小企业公共服务示范平台、小型微型企业创业创新示范基地称号的，给予一次性20万元资金奖励；</w:t>
      </w:r>
    </w:p>
    <w:p w:rsidR="007617DC" w:rsidRDefault="00BF2F9F">
      <w:pPr>
        <w:spacing w:line="560" w:lineRule="exact"/>
        <w:ind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（二）对经北京市认定的，且具备以下条件的中小企业服务平台、小型微型企业创业创新基地给予奖励30万元：一是建筑面积不低于1</w:t>
      </w:r>
      <w:r>
        <w:rPr>
          <w:rFonts w:ascii="仿宋_GB2312" w:eastAsia="仿宋_GB2312" w:hAnsi="仿宋" w:hint="eastAsia"/>
          <w:bCs/>
          <w:sz w:val="32"/>
          <w:szCs w:val="32"/>
        </w:rPr>
        <w:t>万平方米；二是</w:t>
      </w:r>
      <w:r>
        <w:rPr>
          <w:rFonts w:ascii="仿宋_GB2312" w:eastAsia="仿宋_GB2312" w:hAnsi="仿宋" w:hint="eastAsia"/>
          <w:sz w:val="32"/>
          <w:szCs w:val="32"/>
        </w:rPr>
        <w:t>符合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本措施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产业发展方向的中小企业注册</w:t>
      </w:r>
      <w:proofErr w:type="gramStart"/>
      <w:r>
        <w:rPr>
          <w:rFonts w:ascii="仿宋_GB2312" w:eastAsia="仿宋_GB2312" w:hAnsi="仿宋" w:hint="eastAsia"/>
          <w:bCs/>
          <w:sz w:val="32"/>
          <w:szCs w:val="32"/>
        </w:rPr>
        <w:t>入驻率</w:t>
      </w:r>
      <w:proofErr w:type="gramEnd"/>
      <w:r>
        <w:rPr>
          <w:rFonts w:ascii="仿宋_GB2312" w:eastAsia="仿宋_GB2312" w:hAnsi="仿宋" w:hint="eastAsia"/>
          <w:bCs/>
          <w:sz w:val="32"/>
          <w:szCs w:val="32"/>
        </w:rPr>
        <w:t>累计达到70%及以上；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（三）对服务平台等运营机构每引进一家国家级专精特新“小巨人”企业，给予一次性奖励10万元。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十一</w:t>
      </w:r>
      <w:r>
        <w:rPr>
          <w:rFonts w:eastAsia="黑体"/>
          <w:sz w:val="32"/>
          <w:szCs w:val="32"/>
        </w:rPr>
        <w:t>条</w:t>
      </w:r>
      <w:r>
        <w:rPr>
          <w:rFonts w:eastAsia="黑体" w:hint="eastAsia"/>
          <w:sz w:val="32"/>
          <w:szCs w:val="32"/>
        </w:rPr>
        <w:t xml:space="preserve">  </w:t>
      </w:r>
      <w:bookmarkStart w:id="3" w:name="_Hlk110343635"/>
      <w:r>
        <w:rPr>
          <w:rFonts w:ascii="仿宋_GB2312" w:eastAsia="仿宋_GB2312" w:hAnsi="仿宋" w:hint="eastAsia"/>
          <w:sz w:val="32"/>
          <w:szCs w:val="32"/>
        </w:rPr>
        <w:t>支持发展科技企业孵化器和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众创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空间。鼓励中小企业将闲置资产改造成科技企业孵化器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或众创空间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并获得北京市认定，按其改造实际投资额的10%给予资金补贴，补贴金额不超过50万元。</w:t>
      </w:r>
    </w:p>
    <w:p w:rsidR="007617DC" w:rsidRDefault="00BF2F9F">
      <w:pPr>
        <w:spacing w:line="560" w:lineRule="exact"/>
        <w:ind w:firstLineChars="200" w:firstLine="640"/>
        <w:jc w:val="left"/>
        <w:rPr>
          <w:rFonts w:eastAsia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第十二条</w:t>
      </w:r>
      <w:r>
        <w:rPr>
          <w:rFonts w:ascii="仿宋_GB2312" w:eastAsia="仿宋_GB2312" w:hAnsi="仿宋" w:hint="eastAsia"/>
          <w:sz w:val="32"/>
          <w:szCs w:val="32"/>
        </w:rPr>
        <w:t xml:space="preserve">  构建良好营商环境。</w:t>
      </w:r>
      <w:r>
        <w:rPr>
          <w:rFonts w:eastAsia="仿宋_GB2312"/>
          <w:sz w:val="32"/>
          <w:szCs w:val="32"/>
        </w:rPr>
        <w:t>持续优化权利平等、机会平等、规则平等的市场环境，深化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放管服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改革，贯彻落实中央及北京市优化营商环境相关政策，最大限度简化行政审批。创建覆盖企业全生命周期的全要素、全过程、全方位服务体系，促进企业人才交流引进，</w:t>
      </w:r>
      <w:r>
        <w:rPr>
          <w:rFonts w:eastAsia="仿宋_GB2312"/>
          <w:sz w:val="32"/>
          <w:szCs w:val="32"/>
        </w:rPr>
        <w:lastRenderedPageBreak/>
        <w:t>搭建各类企业互相学习交流平台，提供辅导培训、资源对接、项目推介以及人才引进等服务。</w:t>
      </w:r>
    </w:p>
    <w:bookmarkEnd w:id="3"/>
    <w:p w:rsidR="007617DC" w:rsidRDefault="00BF2F9F">
      <w:pPr>
        <w:spacing w:line="560" w:lineRule="exact"/>
        <w:jc w:val="center"/>
        <w:rPr>
          <w:rFonts w:eastAsia="仿宋_GB2312"/>
          <w:b/>
          <w:bCs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六</w:t>
      </w:r>
      <w:r>
        <w:rPr>
          <w:rFonts w:ascii="黑体" w:eastAsia="黑体" w:hAnsi="黑体"/>
          <w:sz w:val="32"/>
          <w:szCs w:val="32"/>
        </w:rPr>
        <w:t>、</w:t>
      </w:r>
      <w:r>
        <w:rPr>
          <w:rFonts w:ascii="黑体" w:eastAsia="黑体" w:hAnsi="黑体" w:hint="eastAsia"/>
          <w:sz w:val="32"/>
          <w:szCs w:val="32"/>
        </w:rPr>
        <w:t>附则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eastAsia="黑体"/>
          <w:sz w:val="32"/>
          <w:szCs w:val="32"/>
        </w:rPr>
        <w:t>第</w:t>
      </w:r>
      <w:r>
        <w:rPr>
          <w:rFonts w:eastAsia="黑体" w:hint="eastAsia"/>
          <w:sz w:val="32"/>
          <w:szCs w:val="32"/>
        </w:rPr>
        <w:t>十三</w:t>
      </w:r>
      <w:r>
        <w:rPr>
          <w:rFonts w:eastAsia="黑体"/>
          <w:sz w:val="32"/>
          <w:szCs w:val="32"/>
        </w:rPr>
        <w:t>条</w:t>
      </w:r>
      <w:r>
        <w:rPr>
          <w:rFonts w:eastAsia="黑体" w:hint="eastAsia"/>
          <w:sz w:val="32"/>
          <w:szCs w:val="32"/>
        </w:rPr>
        <w:t xml:space="preserve"> </w:t>
      </w:r>
      <w:r>
        <w:rPr>
          <w:rFonts w:eastAsia="黑体"/>
          <w:sz w:val="32"/>
          <w:szCs w:val="32"/>
        </w:rPr>
        <w:t xml:space="preserve"> 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本措施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中“中小企业”是指按照工业和信息化部最新发布的《中小企业划型标准规定》划分的中型、小型企业。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本措施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与东城区其他优惠政策不重复享受，企业可自行从优选择。获得政策奖励和补贴的中小企业应无重大违法违规行为及重大风险，且形成一定的综合贡献，如有重大违法违规行为及重大风险予以一票否决。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东城区科技和信息化局为</w:t>
      </w:r>
      <w:proofErr w:type="gramStart"/>
      <w:r>
        <w:rPr>
          <w:rFonts w:ascii="仿宋_GB2312" w:eastAsia="仿宋_GB2312" w:hAnsi="仿宋" w:hint="eastAsia"/>
          <w:sz w:val="32"/>
          <w:szCs w:val="32"/>
        </w:rPr>
        <w:t>本措施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的实施主体，负责政策具体实施和解释工作。</w:t>
      </w:r>
    </w:p>
    <w:p w:rsidR="007617DC" w:rsidRDefault="00BF2F9F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proofErr w:type="gramStart"/>
      <w:r>
        <w:rPr>
          <w:rFonts w:ascii="仿宋_GB2312" w:eastAsia="仿宋_GB2312" w:hAnsi="仿宋" w:hint="eastAsia"/>
          <w:sz w:val="32"/>
          <w:szCs w:val="32"/>
        </w:rPr>
        <w:t>本措施</w:t>
      </w:r>
      <w:proofErr w:type="gramEnd"/>
      <w:r>
        <w:rPr>
          <w:rFonts w:ascii="仿宋_GB2312" w:eastAsia="仿宋_GB2312" w:hAnsi="仿宋" w:hint="eastAsia"/>
          <w:sz w:val="32"/>
          <w:szCs w:val="32"/>
        </w:rPr>
        <w:t>自印发之日起30日后施行，原《东城区提升民营经济活力促进中小企业创新发展的若干措施》（东科信发〔2019〕7号）同时废止。</w:t>
      </w:r>
    </w:p>
    <w:p w:rsidR="007617DC" w:rsidRDefault="007617DC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7617DC" w:rsidRDefault="00BF2F9F">
      <w:pPr>
        <w:spacing w:line="590" w:lineRule="exact"/>
        <w:ind w:rightChars="296" w:right="622"/>
        <w:rPr>
          <w:rFonts w:ascii="仿宋_GB2312" w:eastAsia="仿宋_GB2312" w:hAnsi="仿宋"/>
          <w:spacing w:val="-4"/>
          <w:sz w:val="32"/>
          <w:szCs w:val="32"/>
        </w:rPr>
      </w:pPr>
      <w:r>
        <w:rPr>
          <w:rFonts w:ascii="仿宋_GB2312" w:eastAsia="仿宋_GB2312" w:hAnsi="仿宋" w:hint="eastAsia"/>
          <w:spacing w:val="-4"/>
          <w:sz w:val="32"/>
          <w:szCs w:val="32"/>
        </w:rPr>
        <w:t xml:space="preserve">                          北京市东城区科学技术和信息化局 </w:t>
      </w:r>
    </w:p>
    <w:p w:rsidR="007617DC" w:rsidRDefault="00BF2F9F">
      <w:pPr>
        <w:tabs>
          <w:tab w:val="right" w:pos="8918"/>
        </w:tabs>
        <w:spacing w:line="590" w:lineRule="exact"/>
        <w:ind w:rightChars="296" w:right="622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pacing w:val="-4"/>
          <w:sz w:val="32"/>
          <w:szCs w:val="32"/>
        </w:rPr>
        <w:t xml:space="preserve">                                  2022年 11月 16日</w:t>
      </w:r>
    </w:p>
    <w:sectPr w:rsidR="007617DC">
      <w:headerReference w:type="default" r:id="rId8"/>
      <w:footerReference w:type="even" r:id="rId9"/>
      <w:footerReference w:type="default" r:id="rId10"/>
      <w:pgSz w:w="11906" w:h="16838"/>
      <w:pgMar w:top="1928" w:right="1106" w:bottom="1871" w:left="1260" w:header="851" w:footer="1474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2AB7" w:rsidRDefault="00262AB7">
      <w:r>
        <w:separator/>
      </w:r>
    </w:p>
  </w:endnote>
  <w:endnote w:type="continuationSeparator" w:id="0">
    <w:p w:rsidR="00262AB7" w:rsidRDefault="00262A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7DC" w:rsidRDefault="00BF2F9F">
    <w:pPr>
      <w:pStyle w:val="a8"/>
      <w:framePr w:wrap="around" w:vAnchor="text" w:hAnchor="margin" w:xAlign="outside" w:y="1"/>
      <w:rPr>
        <w:rStyle w:val="aa"/>
      </w:rPr>
    </w:pPr>
    <w:r>
      <w:fldChar w:fldCharType="begin"/>
    </w:r>
    <w:r>
      <w:rPr>
        <w:rStyle w:val="aa"/>
      </w:rPr>
      <w:instrText xml:space="preserve">PAGE  </w:instrText>
    </w:r>
    <w:r>
      <w:fldChar w:fldCharType="end"/>
    </w:r>
  </w:p>
  <w:p w:rsidR="007617DC" w:rsidRDefault="007617DC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7DC" w:rsidRDefault="00BF2F9F">
    <w:pPr>
      <w:pStyle w:val="a8"/>
      <w:framePr w:wrap="around" w:vAnchor="text" w:hAnchor="margin" w:xAlign="outside" w:y="1"/>
      <w:jc w:val="center"/>
      <w:rPr>
        <w:rStyle w:val="aa"/>
        <w:rFonts w:ascii="宋体"/>
        <w:sz w:val="28"/>
      </w:rPr>
    </w:pPr>
    <w:r>
      <w:rPr>
        <w:rStyle w:val="aa"/>
        <w:rFonts w:ascii="宋体" w:hint="eastAsia"/>
        <w:color w:val="FFFFFF"/>
        <w:kern w:val="0"/>
        <w:sz w:val="28"/>
        <w:szCs w:val="28"/>
      </w:rPr>
      <w:t>—</w:t>
    </w:r>
    <w:r>
      <w:rPr>
        <w:rStyle w:val="aa"/>
        <w:rFonts w:ascii="宋体" w:hint="eastAsia"/>
        <w:kern w:val="0"/>
        <w:sz w:val="28"/>
      </w:rPr>
      <w:t>—</w:t>
    </w:r>
    <w:r>
      <w:rPr>
        <w:rStyle w:val="aa"/>
        <w:rFonts w:ascii="宋体"/>
        <w:kern w:val="0"/>
        <w:sz w:val="28"/>
      </w:rPr>
      <w:t xml:space="preserve"> </w:t>
    </w:r>
    <w:r>
      <w:rPr>
        <w:rFonts w:ascii="宋体"/>
        <w:kern w:val="0"/>
        <w:sz w:val="28"/>
      </w:rPr>
      <w:fldChar w:fldCharType="begin"/>
    </w:r>
    <w:r>
      <w:rPr>
        <w:rStyle w:val="aa"/>
        <w:rFonts w:ascii="宋体"/>
        <w:kern w:val="0"/>
        <w:sz w:val="28"/>
      </w:rPr>
      <w:instrText xml:space="preserve"> PAGE </w:instrText>
    </w:r>
    <w:r>
      <w:rPr>
        <w:rFonts w:ascii="宋体"/>
        <w:kern w:val="0"/>
        <w:sz w:val="28"/>
      </w:rPr>
      <w:fldChar w:fldCharType="separate"/>
    </w:r>
    <w:r w:rsidR="0070352A">
      <w:rPr>
        <w:rStyle w:val="aa"/>
        <w:rFonts w:ascii="宋体"/>
        <w:noProof/>
        <w:kern w:val="0"/>
        <w:sz w:val="28"/>
      </w:rPr>
      <w:t>3</w:t>
    </w:r>
    <w:r>
      <w:rPr>
        <w:rFonts w:ascii="宋体"/>
        <w:kern w:val="0"/>
        <w:sz w:val="28"/>
      </w:rPr>
      <w:fldChar w:fldCharType="end"/>
    </w:r>
    <w:r>
      <w:rPr>
        <w:rStyle w:val="aa"/>
        <w:rFonts w:ascii="宋体"/>
        <w:kern w:val="0"/>
        <w:sz w:val="28"/>
      </w:rPr>
      <w:t xml:space="preserve"> </w:t>
    </w:r>
    <w:r>
      <w:rPr>
        <w:rStyle w:val="aa"/>
        <w:rFonts w:ascii="宋体" w:hint="eastAsia"/>
        <w:kern w:val="0"/>
        <w:sz w:val="28"/>
      </w:rPr>
      <w:t>—</w:t>
    </w:r>
    <w:r>
      <w:rPr>
        <w:rStyle w:val="aa"/>
        <w:rFonts w:ascii="宋体" w:hint="eastAsia"/>
        <w:color w:val="FFFFFF"/>
        <w:kern w:val="0"/>
        <w:sz w:val="28"/>
        <w:szCs w:val="28"/>
      </w:rPr>
      <w:t>—</w:t>
    </w:r>
  </w:p>
  <w:p w:rsidR="007617DC" w:rsidRDefault="007617DC">
    <w:pPr>
      <w:pStyle w:val="a8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2AB7" w:rsidRDefault="00262AB7">
      <w:r>
        <w:separator/>
      </w:r>
    </w:p>
  </w:footnote>
  <w:footnote w:type="continuationSeparator" w:id="0">
    <w:p w:rsidR="00262AB7" w:rsidRDefault="00262A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617DC" w:rsidRDefault="007617DC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zlhZGU1OGM4ZTE2ZDI3NGQ5Mjg2MDk5MTJkMDJkNDQifQ=="/>
  </w:docVars>
  <w:rsids>
    <w:rsidRoot w:val="00934F6B"/>
    <w:rsid w:val="00005945"/>
    <w:rsid w:val="00007300"/>
    <w:rsid w:val="00012B9A"/>
    <w:rsid w:val="00013C49"/>
    <w:rsid w:val="000203F0"/>
    <w:rsid w:val="00022377"/>
    <w:rsid w:val="00026603"/>
    <w:rsid w:val="00027117"/>
    <w:rsid w:val="00027E58"/>
    <w:rsid w:val="000317F5"/>
    <w:rsid w:val="00032A89"/>
    <w:rsid w:val="000339A2"/>
    <w:rsid w:val="00034B32"/>
    <w:rsid w:val="00040D5A"/>
    <w:rsid w:val="00045965"/>
    <w:rsid w:val="00045B01"/>
    <w:rsid w:val="0005164B"/>
    <w:rsid w:val="000527D3"/>
    <w:rsid w:val="000530AD"/>
    <w:rsid w:val="0005582C"/>
    <w:rsid w:val="000575DB"/>
    <w:rsid w:val="00066ED0"/>
    <w:rsid w:val="00074CE2"/>
    <w:rsid w:val="00074EF6"/>
    <w:rsid w:val="00076657"/>
    <w:rsid w:val="00076C2F"/>
    <w:rsid w:val="00077C21"/>
    <w:rsid w:val="00080EBC"/>
    <w:rsid w:val="00084D28"/>
    <w:rsid w:val="00085F3E"/>
    <w:rsid w:val="000A0D6A"/>
    <w:rsid w:val="000A4B60"/>
    <w:rsid w:val="000A7166"/>
    <w:rsid w:val="000B66E7"/>
    <w:rsid w:val="000C52E9"/>
    <w:rsid w:val="000D1893"/>
    <w:rsid w:val="000D3FCD"/>
    <w:rsid w:val="000D5F71"/>
    <w:rsid w:val="000D6D1F"/>
    <w:rsid w:val="000E15E9"/>
    <w:rsid w:val="000F0D63"/>
    <w:rsid w:val="000F7BC3"/>
    <w:rsid w:val="00100EA2"/>
    <w:rsid w:val="00107973"/>
    <w:rsid w:val="00113EAC"/>
    <w:rsid w:val="00127AD0"/>
    <w:rsid w:val="001314E0"/>
    <w:rsid w:val="00133F54"/>
    <w:rsid w:val="00135C14"/>
    <w:rsid w:val="0013692C"/>
    <w:rsid w:val="0013723E"/>
    <w:rsid w:val="001375C5"/>
    <w:rsid w:val="00137803"/>
    <w:rsid w:val="00142D9D"/>
    <w:rsid w:val="00145FBE"/>
    <w:rsid w:val="00146B5D"/>
    <w:rsid w:val="00166D37"/>
    <w:rsid w:val="00170581"/>
    <w:rsid w:val="00171987"/>
    <w:rsid w:val="00180A14"/>
    <w:rsid w:val="001811E7"/>
    <w:rsid w:val="00183FEA"/>
    <w:rsid w:val="00190D5C"/>
    <w:rsid w:val="00193751"/>
    <w:rsid w:val="00196656"/>
    <w:rsid w:val="001A01C7"/>
    <w:rsid w:val="001A3B83"/>
    <w:rsid w:val="001A52CD"/>
    <w:rsid w:val="001A61B9"/>
    <w:rsid w:val="001B119F"/>
    <w:rsid w:val="001C26BD"/>
    <w:rsid w:val="001C5BA6"/>
    <w:rsid w:val="001C674E"/>
    <w:rsid w:val="001D152C"/>
    <w:rsid w:val="001D27ED"/>
    <w:rsid w:val="001D62D1"/>
    <w:rsid w:val="001E1725"/>
    <w:rsid w:val="001E2414"/>
    <w:rsid w:val="001E3810"/>
    <w:rsid w:val="001F287A"/>
    <w:rsid w:val="001F628E"/>
    <w:rsid w:val="001F7B7B"/>
    <w:rsid w:val="0020010B"/>
    <w:rsid w:val="00207835"/>
    <w:rsid w:val="00213879"/>
    <w:rsid w:val="002202D6"/>
    <w:rsid w:val="00223F00"/>
    <w:rsid w:val="00225B49"/>
    <w:rsid w:val="002310C5"/>
    <w:rsid w:val="0023153B"/>
    <w:rsid w:val="00237B51"/>
    <w:rsid w:val="002474ED"/>
    <w:rsid w:val="00251456"/>
    <w:rsid w:val="00257732"/>
    <w:rsid w:val="0026069E"/>
    <w:rsid w:val="00262AB7"/>
    <w:rsid w:val="00265023"/>
    <w:rsid w:val="00267E24"/>
    <w:rsid w:val="00270961"/>
    <w:rsid w:val="00272C9B"/>
    <w:rsid w:val="002864C4"/>
    <w:rsid w:val="00287F8A"/>
    <w:rsid w:val="00291257"/>
    <w:rsid w:val="00291C98"/>
    <w:rsid w:val="002A32F4"/>
    <w:rsid w:val="002A457D"/>
    <w:rsid w:val="002A5012"/>
    <w:rsid w:val="002A7E25"/>
    <w:rsid w:val="002B12B0"/>
    <w:rsid w:val="002B512B"/>
    <w:rsid w:val="002C0034"/>
    <w:rsid w:val="002C4AFB"/>
    <w:rsid w:val="002C6766"/>
    <w:rsid w:val="002C6B4C"/>
    <w:rsid w:val="002D2557"/>
    <w:rsid w:val="002D5CDE"/>
    <w:rsid w:val="002D6C72"/>
    <w:rsid w:val="002D7013"/>
    <w:rsid w:val="002D787C"/>
    <w:rsid w:val="002D7C69"/>
    <w:rsid w:val="002E26B1"/>
    <w:rsid w:val="002E5322"/>
    <w:rsid w:val="002E546D"/>
    <w:rsid w:val="002E5BC8"/>
    <w:rsid w:val="002E7B6E"/>
    <w:rsid w:val="002F1606"/>
    <w:rsid w:val="002F401C"/>
    <w:rsid w:val="00300316"/>
    <w:rsid w:val="00301D48"/>
    <w:rsid w:val="00310411"/>
    <w:rsid w:val="00311334"/>
    <w:rsid w:val="00312823"/>
    <w:rsid w:val="00317716"/>
    <w:rsid w:val="0032011B"/>
    <w:rsid w:val="00320549"/>
    <w:rsid w:val="00323902"/>
    <w:rsid w:val="00331EE1"/>
    <w:rsid w:val="003332B8"/>
    <w:rsid w:val="00334AA9"/>
    <w:rsid w:val="00335C5F"/>
    <w:rsid w:val="00340163"/>
    <w:rsid w:val="003412BB"/>
    <w:rsid w:val="00346CB3"/>
    <w:rsid w:val="00351CA3"/>
    <w:rsid w:val="0035790D"/>
    <w:rsid w:val="003671F8"/>
    <w:rsid w:val="00372C9B"/>
    <w:rsid w:val="00376EB2"/>
    <w:rsid w:val="00384879"/>
    <w:rsid w:val="00384CC4"/>
    <w:rsid w:val="00390BB2"/>
    <w:rsid w:val="00391353"/>
    <w:rsid w:val="003955BF"/>
    <w:rsid w:val="0039577C"/>
    <w:rsid w:val="003A2ECB"/>
    <w:rsid w:val="003A3BA6"/>
    <w:rsid w:val="003A67F7"/>
    <w:rsid w:val="003B0963"/>
    <w:rsid w:val="003B5CEE"/>
    <w:rsid w:val="003B5FFF"/>
    <w:rsid w:val="003C4ADF"/>
    <w:rsid w:val="003D4894"/>
    <w:rsid w:val="003D6D7B"/>
    <w:rsid w:val="003D7DA5"/>
    <w:rsid w:val="003E0F54"/>
    <w:rsid w:val="003E19E7"/>
    <w:rsid w:val="003E22AA"/>
    <w:rsid w:val="003E525F"/>
    <w:rsid w:val="003E661E"/>
    <w:rsid w:val="003F0B6C"/>
    <w:rsid w:val="003F2431"/>
    <w:rsid w:val="004001C5"/>
    <w:rsid w:val="00400CF5"/>
    <w:rsid w:val="004100DC"/>
    <w:rsid w:val="0041661C"/>
    <w:rsid w:val="00420D7C"/>
    <w:rsid w:val="0042100E"/>
    <w:rsid w:val="004253BE"/>
    <w:rsid w:val="00435C95"/>
    <w:rsid w:val="00441F03"/>
    <w:rsid w:val="00443B00"/>
    <w:rsid w:val="00443E79"/>
    <w:rsid w:val="00447D1D"/>
    <w:rsid w:val="004524AE"/>
    <w:rsid w:val="00454F2C"/>
    <w:rsid w:val="0046648C"/>
    <w:rsid w:val="00466B33"/>
    <w:rsid w:val="00467E06"/>
    <w:rsid w:val="0047027D"/>
    <w:rsid w:val="00473FF7"/>
    <w:rsid w:val="00482D5C"/>
    <w:rsid w:val="00485E61"/>
    <w:rsid w:val="00494B1E"/>
    <w:rsid w:val="00496F8B"/>
    <w:rsid w:val="00497297"/>
    <w:rsid w:val="004A41F0"/>
    <w:rsid w:val="004A505C"/>
    <w:rsid w:val="004A7553"/>
    <w:rsid w:val="004B1AE8"/>
    <w:rsid w:val="004B774F"/>
    <w:rsid w:val="004B7F0C"/>
    <w:rsid w:val="004C1938"/>
    <w:rsid w:val="004D2243"/>
    <w:rsid w:val="004D5EFB"/>
    <w:rsid w:val="004E4594"/>
    <w:rsid w:val="004F05E7"/>
    <w:rsid w:val="004F0A2F"/>
    <w:rsid w:val="004F380A"/>
    <w:rsid w:val="00500F59"/>
    <w:rsid w:val="0050141B"/>
    <w:rsid w:val="00506CB6"/>
    <w:rsid w:val="00515812"/>
    <w:rsid w:val="00516F61"/>
    <w:rsid w:val="00534A9F"/>
    <w:rsid w:val="00553082"/>
    <w:rsid w:val="00554E1C"/>
    <w:rsid w:val="00571886"/>
    <w:rsid w:val="00571E54"/>
    <w:rsid w:val="005732D9"/>
    <w:rsid w:val="00577D3A"/>
    <w:rsid w:val="005817DF"/>
    <w:rsid w:val="005841A8"/>
    <w:rsid w:val="00595835"/>
    <w:rsid w:val="00596325"/>
    <w:rsid w:val="00597DA3"/>
    <w:rsid w:val="005A5D38"/>
    <w:rsid w:val="005A7A93"/>
    <w:rsid w:val="005A7E83"/>
    <w:rsid w:val="005B3D9A"/>
    <w:rsid w:val="005B646F"/>
    <w:rsid w:val="005C0572"/>
    <w:rsid w:val="005D2CD2"/>
    <w:rsid w:val="005D3F1B"/>
    <w:rsid w:val="005D59D4"/>
    <w:rsid w:val="005D5CCE"/>
    <w:rsid w:val="005D62C8"/>
    <w:rsid w:val="005E13DB"/>
    <w:rsid w:val="005F43E0"/>
    <w:rsid w:val="006014D1"/>
    <w:rsid w:val="00601A0D"/>
    <w:rsid w:val="00602F14"/>
    <w:rsid w:val="00603A34"/>
    <w:rsid w:val="00612D35"/>
    <w:rsid w:val="00615493"/>
    <w:rsid w:val="00616A5D"/>
    <w:rsid w:val="00617557"/>
    <w:rsid w:val="00620DD8"/>
    <w:rsid w:val="0062175F"/>
    <w:rsid w:val="00635BC3"/>
    <w:rsid w:val="0064357E"/>
    <w:rsid w:val="0064460F"/>
    <w:rsid w:val="006509D8"/>
    <w:rsid w:val="00652559"/>
    <w:rsid w:val="00655B1A"/>
    <w:rsid w:val="00655C82"/>
    <w:rsid w:val="00661D11"/>
    <w:rsid w:val="00676B7E"/>
    <w:rsid w:val="00677A25"/>
    <w:rsid w:val="00680DAA"/>
    <w:rsid w:val="00681623"/>
    <w:rsid w:val="006878AF"/>
    <w:rsid w:val="00690FA4"/>
    <w:rsid w:val="00691BB2"/>
    <w:rsid w:val="00691C64"/>
    <w:rsid w:val="00693F78"/>
    <w:rsid w:val="006A019A"/>
    <w:rsid w:val="006A05C8"/>
    <w:rsid w:val="006A682A"/>
    <w:rsid w:val="006A7D32"/>
    <w:rsid w:val="006B11A3"/>
    <w:rsid w:val="006B14E3"/>
    <w:rsid w:val="006B188A"/>
    <w:rsid w:val="006B56DF"/>
    <w:rsid w:val="006B648E"/>
    <w:rsid w:val="006C0702"/>
    <w:rsid w:val="006D1818"/>
    <w:rsid w:val="006D4507"/>
    <w:rsid w:val="006D4D8C"/>
    <w:rsid w:val="006E7C90"/>
    <w:rsid w:val="006E7ED1"/>
    <w:rsid w:val="006F010E"/>
    <w:rsid w:val="006F02DB"/>
    <w:rsid w:val="006F1065"/>
    <w:rsid w:val="006F3407"/>
    <w:rsid w:val="006F3894"/>
    <w:rsid w:val="0070352A"/>
    <w:rsid w:val="00704A03"/>
    <w:rsid w:val="007070FC"/>
    <w:rsid w:val="00712CD3"/>
    <w:rsid w:val="0071410B"/>
    <w:rsid w:val="00715E93"/>
    <w:rsid w:val="00717DAE"/>
    <w:rsid w:val="007210DD"/>
    <w:rsid w:val="00723737"/>
    <w:rsid w:val="00727E05"/>
    <w:rsid w:val="007316B2"/>
    <w:rsid w:val="00743782"/>
    <w:rsid w:val="00745103"/>
    <w:rsid w:val="007517F5"/>
    <w:rsid w:val="00756E08"/>
    <w:rsid w:val="00757291"/>
    <w:rsid w:val="007617DC"/>
    <w:rsid w:val="00767E58"/>
    <w:rsid w:val="00775174"/>
    <w:rsid w:val="00783E4B"/>
    <w:rsid w:val="00784AAC"/>
    <w:rsid w:val="00785617"/>
    <w:rsid w:val="007A494C"/>
    <w:rsid w:val="007B0159"/>
    <w:rsid w:val="007B1B6D"/>
    <w:rsid w:val="007B7584"/>
    <w:rsid w:val="007C3117"/>
    <w:rsid w:val="007C5DBF"/>
    <w:rsid w:val="007D04F8"/>
    <w:rsid w:val="007D096C"/>
    <w:rsid w:val="007D415E"/>
    <w:rsid w:val="007D602E"/>
    <w:rsid w:val="007E39C5"/>
    <w:rsid w:val="007E6162"/>
    <w:rsid w:val="007E7327"/>
    <w:rsid w:val="007F7EBA"/>
    <w:rsid w:val="00800B8B"/>
    <w:rsid w:val="00804D08"/>
    <w:rsid w:val="00815775"/>
    <w:rsid w:val="0082771B"/>
    <w:rsid w:val="008315AF"/>
    <w:rsid w:val="00832E7C"/>
    <w:rsid w:val="00836A94"/>
    <w:rsid w:val="008553A8"/>
    <w:rsid w:val="0085540A"/>
    <w:rsid w:val="00855ED4"/>
    <w:rsid w:val="00864D5F"/>
    <w:rsid w:val="00875774"/>
    <w:rsid w:val="00875A4C"/>
    <w:rsid w:val="008848C3"/>
    <w:rsid w:val="0088643A"/>
    <w:rsid w:val="00886A61"/>
    <w:rsid w:val="0089199A"/>
    <w:rsid w:val="00891E40"/>
    <w:rsid w:val="00892994"/>
    <w:rsid w:val="00895BFE"/>
    <w:rsid w:val="008A0049"/>
    <w:rsid w:val="008A0791"/>
    <w:rsid w:val="008A31D7"/>
    <w:rsid w:val="008A6409"/>
    <w:rsid w:val="008B20E2"/>
    <w:rsid w:val="008B26C0"/>
    <w:rsid w:val="008B29F1"/>
    <w:rsid w:val="008B5909"/>
    <w:rsid w:val="008B5DEF"/>
    <w:rsid w:val="008C78EE"/>
    <w:rsid w:val="008C7FDC"/>
    <w:rsid w:val="008D217D"/>
    <w:rsid w:val="008D5176"/>
    <w:rsid w:val="008D58AE"/>
    <w:rsid w:val="008D6FBC"/>
    <w:rsid w:val="008E549D"/>
    <w:rsid w:val="008E6C02"/>
    <w:rsid w:val="008F221F"/>
    <w:rsid w:val="008F5AE3"/>
    <w:rsid w:val="008F5FE0"/>
    <w:rsid w:val="008F6277"/>
    <w:rsid w:val="0090421B"/>
    <w:rsid w:val="00906AC7"/>
    <w:rsid w:val="00907F18"/>
    <w:rsid w:val="009156E4"/>
    <w:rsid w:val="009201B2"/>
    <w:rsid w:val="00920488"/>
    <w:rsid w:val="00920694"/>
    <w:rsid w:val="0092099A"/>
    <w:rsid w:val="00921ADF"/>
    <w:rsid w:val="00926B4A"/>
    <w:rsid w:val="00934F6B"/>
    <w:rsid w:val="00954499"/>
    <w:rsid w:val="009556BC"/>
    <w:rsid w:val="00956576"/>
    <w:rsid w:val="00960C29"/>
    <w:rsid w:val="0096118D"/>
    <w:rsid w:val="00962D0F"/>
    <w:rsid w:val="00971B5C"/>
    <w:rsid w:val="00974C07"/>
    <w:rsid w:val="00977165"/>
    <w:rsid w:val="00984DA5"/>
    <w:rsid w:val="00987800"/>
    <w:rsid w:val="009902F8"/>
    <w:rsid w:val="009911AC"/>
    <w:rsid w:val="00994359"/>
    <w:rsid w:val="00996B04"/>
    <w:rsid w:val="009A522A"/>
    <w:rsid w:val="009A7962"/>
    <w:rsid w:val="009B238B"/>
    <w:rsid w:val="009B258F"/>
    <w:rsid w:val="009B341D"/>
    <w:rsid w:val="009B6020"/>
    <w:rsid w:val="009B681F"/>
    <w:rsid w:val="009C2FF7"/>
    <w:rsid w:val="009D0288"/>
    <w:rsid w:val="009D3CFA"/>
    <w:rsid w:val="009D7986"/>
    <w:rsid w:val="009D7E8B"/>
    <w:rsid w:val="009E0C42"/>
    <w:rsid w:val="009E2212"/>
    <w:rsid w:val="009E5CA3"/>
    <w:rsid w:val="009F68C0"/>
    <w:rsid w:val="00A02391"/>
    <w:rsid w:val="00A032B5"/>
    <w:rsid w:val="00A049D5"/>
    <w:rsid w:val="00A066E7"/>
    <w:rsid w:val="00A138ED"/>
    <w:rsid w:val="00A15920"/>
    <w:rsid w:val="00A35C44"/>
    <w:rsid w:val="00A36B1F"/>
    <w:rsid w:val="00A37DD6"/>
    <w:rsid w:val="00A417E8"/>
    <w:rsid w:val="00A424B7"/>
    <w:rsid w:val="00A4457A"/>
    <w:rsid w:val="00A458DB"/>
    <w:rsid w:val="00A46826"/>
    <w:rsid w:val="00A523C1"/>
    <w:rsid w:val="00A538CA"/>
    <w:rsid w:val="00A7200B"/>
    <w:rsid w:val="00A72A9E"/>
    <w:rsid w:val="00A80270"/>
    <w:rsid w:val="00A86E46"/>
    <w:rsid w:val="00A875D1"/>
    <w:rsid w:val="00A90ED6"/>
    <w:rsid w:val="00A97D91"/>
    <w:rsid w:val="00AA000E"/>
    <w:rsid w:val="00AA07B4"/>
    <w:rsid w:val="00AA1946"/>
    <w:rsid w:val="00AA3B10"/>
    <w:rsid w:val="00AA5164"/>
    <w:rsid w:val="00AA6DD7"/>
    <w:rsid w:val="00AA72B3"/>
    <w:rsid w:val="00AB0E1B"/>
    <w:rsid w:val="00AC397F"/>
    <w:rsid w:val="00AD3E83"/>
    <w:rsid w:val="00AE230B"/>
    <w:rsid w:val="00AE2E1A"/>
    <w:rsid w:val="00AE43F3"/>
    <w:rsid w:val="00AE755F"/>
    <w:rsid w:val="00AF25EE"/>
    <w:rsid w:val="00AF697B"/>
    <w:rsid w:val="00B00513"/>
    <w:rsid w:val="00B05167"/>
    <w:rsid w:val="00B05E27"/>
    <w:rsid w:val="00B07D49"/>
    <w:rsid w:val="00B13564"/>
    <w:rsid w:val="00B175EA"/>
    <w:rsid w:val="00B26071"/>
    <w:rsid w:val="00B300FB"/>
    <w:rsid w:val="00B35CEB"/>
    <w:rsid w:val="00B50A70"/>
    <w:rsid w:val="00B57C2F"/>
    <w:rsid w:val="00B6285E"/>
    <w:rsid w:val="00B651C4"/>
    <w:rsid w:val="00B656C0"/>
    <w:rsid w:val="00B72CCA"/>
    <w:rsid w:val="00B824C1"/>
    <w:rsid w:val="00B84A53"/>
    <w:rsid w:val="00B84ADC"/>
    <w:rsid w:val="00B90D0C"/>
    <w:rsid w:val="00B928DF"/>
    <w:rsid w:val="00B9693E"/>
    <w:rsid w:val="00B96D21"/>
    <w:rsid w:val="00B97EF8"/>
    <w:rsid w:val="00BA0138"/>
    <w:rsid w:val="00BA3026"/>
    <w:rsid w:val="00BA6E56"/>
    <w:rsid w:val="00BB0668"/>
    <w:rsid w:val="00BC003F"/>
    <w:rsid w:val="00BC247C"/>
    <w:rsid w:val="00BC5CFF"/>
    <w:rsid w:val="00BD0FC0"/>
    <w:rsid w:val="00BD6419"/>
    <w:rsid w:val="00BD69A6"/>
    <w:rsid w:val="00BE6212"/>
    <w:rsid w:val="00BE6B7A"/>
    <w:rsid w:val="00BE7E5D"/>
    <w:rsid w:val="00BF1EE4"/>
    <w:rsid w:val="00BF2F9F"/>
    <w:rsid w:val="00BF7821"/>
    <w:rsid w:val="00C10177"/>
    <w:rsid w:val="00C17886"/>
    <w:rsid w:val="00C22716"/>
    <w:rsid w:val="00C2325F"/>
    <w:rsid w:val="00C250F2"/>
    <w:rsid w:val="00C274D3"/>
    <w:rsid w:val="00C364BA"/>
    <w:rsid w:val="00C45CD0"/>
    <w:rsid w:val="00C467D5"/>
    <w:rsid w:val="00C478FF"/>
    <w:rsid w:val="00C50479"/>
    <w:rsid w:val="00C51984"/>
    <w:rsid w:val="00C601EE"/>
    <w:rsid w:val="00C610B8"/>
    <w:rsid w:val="00C7334B"/>
    <w:rsid w:val="00C74E0B"/>
    <w:rsid w:val="00C7710A"/>
    <w:rsid w:val="00C77F25"/>
    <w:rsid w:val="00C809F8"/>
    <w:rsid w:val="00C80DAE"/>
    <w:rsid w:val="00C824FD"/>
    <w:rsid w:val="00C82936"/>
    <w:rsid w:val="00C83691"/>
    <w:rsid w:val="00C83E99"/>
    <w:rsid w:val="00C9605F"/>
    <w:rsid w:val="00CB3090"/>
    <w:rsid w:val="00CB3A69"/>
    <w:rsid w:val="00CC3D06"/>
    <w:rsid w:val="00CC69A3"/>
    <w:rsid w:val="00CD2943"/>
    <w:rsid w:val="00CD33FB"/>
    <w:rsid w:val="00CD5BEE"/>
    <w:rsid w:val="00CD6039"/>
    <w:rsid w:val="00CF19B4"/>
    <w:rsid w:val="00CF3087"/>
    <w:rsid w:val="00D02780"/>
    <w:rsid w:val="00D06C6E"/>
    <w:rsid w:val="00D107F9"/>
    <w:rsid w:val="00D17162"/>
    <w:rsid w:val="00D22AEF"/>
    <w:rsid w:val="00D31105"/>
    <w:rsid w:val="00D40805"/>
    <w:rsid w:val="00D60C87"/>
    <w:rsid w:val="00D70BBF"/>
    <w:rsid w:val="00D72963"/>
    <w:rsid w:val="00D76840"/>
    <w:rsid w:val="00D856B9"/>
    <w:rsid w:val="00D86A32"/>
    <w:rsid w:val="00D86A65"/>
    <w:rsid w:val="00D870C3"/>
    <w:rsid w:val="00D937A5"/>
    <w:rsid w:val="00DA22A5"/>
    <w:rsid w:val="00DA6FEC"/>
    <w:rsid w:val="00DB1492"/>
    <w:rsid w:val="00DB1E06"/>
    <w:rsid w:val="00DB614A"/>
    <w:rsid w:val="00DC58ED"/>
    <w:rsid w:val="00DC6121"/>
    <w:rsid w:val="00DC69C5"/>
    <w:rsid w:val="00DD0791"/>
    <w:rsid w:val="00DD0C9D"/>
    <w:rsid w:val="00DD387A"/>
    <w:rsid w:val="00DD3AC8"/>
    <w:rsid w:val="00DE054D"/>
    <w:rsid w:val="00DE18BA"/>
    <w:rsid w:val="00DE35B4"/>
    <w:rsid w:val="00DF4999"/>
    <w:rsid w:val="00E03A9F"/>
    <w:rsid w:val="00E04498"/>
    <w:rsid w:val="00E0460A"/>
    <w:rsid w:val="00E04BE4"/>
    <w:rsid w:val="00E04F30"/>
    <w:rsid w:val="00E05DE0"/>
    <w:rsid w:val="00E10F55"/>
    <w:rsid w:val="00E111AE"/>
    <w:rsid w:val="00E26147"/>
    <w:rsid w:val="00E26D7E"/>
    <w:rsid w:val="00E30488"/>
    <w:rsid w:val="00E32397"/>
    <w:rsid w:val="00E402D1"/>
    <w:rsid w:val="00E4555A"/>
    <w:rsid w:val="00E46C46"/>
    <w:rsid w:val="00E53A55"/>
    <w:rsid w:val="00E5468A"/>
    <w:rsid w:val="00E578FB"/>
    <w:rsid w:val="00E64BE0"/>
    <w:rsid w:val="00E6576A"/>
    <w:rsid w:val="00E70FB4"/>
    <w:rsid w:val="00E74631"/>
    <w:rsid w:val="00E771D8"/>
    <w:rsid w:val="00E817A3"/>
    <w:rsid w:val="00E83EB5"/>
    <w:rsid w:val="00E858AC"/>
    <w:rsid w:val="00E87C7A"/>
    <w:rsid w:val="00E931D7"/>
    <w:rsid w:val="00E97451"/>
    <w:rsid w:val="00EA4643"/>
    <w:rsid w:val="00EA5251"/>
    <w:rsid w:val="00EA57E2"/>
    <w:rsid w:val="00EA626A"/>
    <w:rsid w:val="00EA708A"/>
    <w:rsid w:val="00EB32A5"/>
    <w:rsid w:val="00EC75ED"/>
    <w:rsid w:val="00EC7E7D"/>
    <w:rsid w:val="00ED4122"/>
    <w:rsid w:val="00ED5746"/>
    <w:rsid w:val="00EE01F7"/>
    <w:rsid w:val="00EE64B4"/>
    <w:rsid w:val="00EF4AB2"/>
    <w:rsid w:val="00F020FF"/>
    <w:rsid w:val="00F07684"/>
    <w:rsid w:val="00F07C7E"/>
    <w:rsid w:val="00F103D7"/>
    <w:rsid w:val="00F10517"/>
    <w:rsid w:val="00F136D8"/>
    <w:rsid w:val="00F17FFD"/>
    <w:rsid w:val="00F223F1"/>
    <w:rsid w:val="00F2258F"/>
    <w:rsid w:val="00F252F1"/>
    <w:rsid w:val="00F31C0B"/>
    <w:rsid w:val="00F35C72"/>
    <w:rsid w:val="00F36522"/>
    <w:rsid w:val="00F36F08"/>
    <w:rsid w:val="00F3776A"/>
    <w:rsid w:val="00F411F4"/>
    <w:rsid w:val="00F45248"/>
    <w:rsid w:val="00F453C2"/>
    <w:rsid w:val="00F4651A"/>
    <w:rsid w:val="00F47F57"/>
    <w:rsid w:val="00F51447"/>
    <w:rsid w:val="00F6031E"/>
    <w:rsid w:val="00F6511B"/>
    <w:rsid w:val="00F75B6D"/>
    <w:rsid w:val="00F76AE0"/>
    <w:rsid w:val="00F8107D"/>
    <w:rsid w:val="00F843B9"/>
    <w:rsid w:val="00F85462"/>
    <w:rsid w:val="00F95FAE"/>
    <w:rsid w:val="00F96391"/>
    <w:rsid w:val="00FA05D1"/>
    <w:rsid w:val="00FA2763"/>
    <w:rsid w:val="00FA73ED"/>
    <w:rsid w:val="00FB186C"/>
    <w:rsid w:val="00FB1DD9"/>
    <w:rsid w:val="00FC3895"/>
    <w:rsid w:val="00FC4594"/>
    <w:rsid w:val="00FD2CDD"/>
    <w:rsid w:val="00FD6AF1"/>
    <w:rsid w:val="00FE18A4"/>
    <w:rsid w:val="00FF2179"/>
    <w:rsid w:val="00FF2C85"/>
    <w:rsid w:val="00FF351E"/>
    <w:rsid w:val="00FF617A"/>
    <w:rsid w:val="00FF78C9"/>
    <w:rsid w:val="030E3989"/>
    <w:rsid w:val="041741E8"/>
    <w:rsid w:val="07117EA5"/>
    <w:rsid w:val="08017DFB"/>
    <w:rsid w:val="080474CF"/>
    <w:rsid w:val="0B0F4EB2"/>
    <w:rsid w:val="0B7104A4"/>
    <w:rsid w:val="0C5E25D5"/>
    <w:rsid w:val="0D371883"/>
    <w:rsid w:val="0D483858"/>
    <w:rsid w:val="0FE444A1"/>
    <w:rsid w:val="10AC0666"/>
    <w:rsid w:val="11463480"/>
    <w:rsid w:val="11D009E8"/>
    <w:rsid w:val="12DF0986"/>
    <w:rsid w:val="12E94B27"/>
    <w:rsid w:val="13E13A2C"/>
    <w:rsid w:val="14F70FF5"/>
    <w:rsid w:val="160733B1"/>
    <w:rsid w:val="17945A36"/>
    <w:rsid w:val="1CFD7160"/>
    <w:rsid w:val="1D4D3212"/>
    <w:rsid w:val="1E314C15"/>
    <w:rsid w:val="1E95493A"/>
    <w:rsid w:val="2074194C"/>
    <w:rsid w:val="21E90572"/>
    <w:rsid w:val="220F4A6D"/>
    <w:rsid w:val="22133977"/>
    <w:rsid w:val="22CE528A"/>
    <w:rsid w:val="23913DE8"/>
    <w:rsid w:val="23D51059"/>
    <w:rsid w:val="254C7835"/>
    <w:rsid w:val="258F6CAA"/>
    <w:rsid w:val="26274D25"/>
    <w:rsid w:val="27C60341"/>
    <w:rsid w:val="280023AD"/>
    <w:rsid w:val="28005C30"/>
    <w:rsid w:val="286E0463"/>
    <w:rsid w:val="29A6259A"/>
    <w:rsid w:val="2C2B1183"/>
    <w:rsid w:val="2C861FC7"/>
    <w:rsid w:val="2DEF0E2D"/>
    <w:rsid w:val="2DF4508A"/>
    <w:rsid w:val="2F0A39AB"/>
    <w:rsid w:val="2FEB66AB"/>
    <w:rsid w:val="2FF15018"/>
    <w:rsid w:val="30C043EB"/>
    <w:rsid w:val="32134DB6"/>
    <w:rsid w:val="325D7690"/>
    <w:rsid w:val="329F241C"/>
    <w:rsid w:val="32E2418A"/>
    <w:rsid w:val="33E16F18"/>
    <w:rsid w:val="346D5E8F"/>
    <w:rsid w:val="34DC0737"/>
    <w:rsid w:val="38D361F9"/>
    <w:rsid w:val="3CC372BE"/>
    <w:rsid w:val="3D4B3D1F"/>
    <w:rsid w:val="3DC243E8"/>
    <w:rsid w:val="3E8649A0"/>
    <w:rsid w:val="3EC857D3"/>
    <w:rsid w:val="3ED9222C"/>
    <w:rsid w:val="3EE372B8"/>
    <w:rsid w:val="3F846E42"/>
    <w:rsid w:val="3FA85D7D"/>
    <w:rsid w:val="41267873"/>
    <w:rsid w:val="434C1017"/>
    <w:rsid w:val="452F4E0F"/>
    <w:rsid w:val="48B00D40"/>
    <w:rsid w:val="4B0E1A9A"/>
    <w:rsid w:val="4B9B321A"/>
    <w:rsid w:val="53D623BB"/>
    <w:rsid w:val="54F63A2F"/>
    <w:rsid w:val="55B20DA6"/>
    <w:rsid w:val="56781A69"/>
    <w:rsid w:val="5CC93A47"/>
    <w:rsid w:val="5D1A254C"/>
    <w:rsid w:val="5FBE5C44"/>
    <w:rsid w:val="60B5712D"/>
    <w:rsid w:val="61E71E2F"/>
    <w:rsid w:val="65A5582E"/>
    <w:rsid w:val="668A3A1F"/>
    <w:rsid w:val="67F5111B"/>
    <w:rsid w:val="684D75AC"/>
    <w:rsid w:val="684E08B0"/>
    <w:rsid w:val="68B558F7"/>
    <w:rsid w:val="6BEF16D4"/>
    <w:rsid w:val="6DF25BEE"/>
    <w:rsid w:val="6E935777"/>
    <w:rsid w:val="6EE3731D"/>
    <w:rsid w:val="70EF45B8"/>
    <w:rsid w:val="735E37EF"/>
    <w:rsid w:val="74466952"/>
    <w:rsid w:val="76F31A34"/>
    <w:rsid w:val="77410878"/>
    <w:rsid w:val="77CB2878"/>
    <w:rsid w:val="78586D7C"/>
    <w:rsid w:val="79764530"/>
    <w:rsid w:val="79B90682"/>
    <w:rsid w:val="79E57808"/>
    <w:rsid w:val="7BF5086D"/>
    <w:rsid w:val="7CBA7331"/>
    <w:rsid w:val="7EA36E51"/>
    <w:rsid w:val="7F4224B9"/>
    <w:rsid w:val="7FE142DA"/>
    <w:rsid w:val="7FE83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iPriority="9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qFormat="1"/>
    <w:lsdException w:name="annotation reference" w:semiHidden="0" w:unhideWhenUsed="0"/>
    <w:lsdException w:name="page number" w:semiHidden="0" w:unhideWhenUsed="0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semiHidden="0" w:uiPriority="1"/>
    <w:lsdException w:name="Body Text Indent" w:semiHidden="0" w:unhideWhenUsed="0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semiHidden="0" w:unhideWhenUsed="0"/>
    <w:lsdException w:name="Hyperlink" w:semiHidden="0" w:uiPriority="99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4">
    <w:name w:val="annotation text"/>
    <w:basedOn w:val="a"/>
    <w:link w:val="Char0"/>
    <w:pPr>
      <w:jc w:val="left"/>
    </w:pPr>
  </w:style>
  <w:style w:type="paragraph" w:styleId="a5">
    <w:name w:val="Body Text Indent"/>
    <w:basedOn w:val="a"/>
    <w:pPr>
      <w:ind w:left="815" w:hanging="815"/>
    </w:pPr>
    <w:rPr>
      <w:rFonts w:eastAsia="仿宋_GB2312"/>
      <w:sz w:val="28"/>
      <w:szCs w:val="20"/>
    </w:rPr>
  </w:style>
  <w:style w:type="paragraph" w:styleId="a6">
    <w:name w:val="Date"/>
    <w:basedOn w:val="a"/>
    <w:next w:val="a"/>
    <w:rPr>
      <w:rFonts w:eastAsia="仿宋_GB2312"/>
      <w:sz w:val="32"/>
      <w:szCs w:val="20"/>
    </w:r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a">
    <w:name w:val="page number"/>
    <w:basedOn w:val="a0"/>
  </w:style>
  <w:style w:type="character" w:styleId="ab">
    <w:name w:val="Emphasis"/>
    <w:basedOn w:val="a0"/>
    <w:uiPriority w:val="20"/>
    <w:qFormat/>
    <w:rPr>
      <w:i/>
      <w:iCs/>
    </w:rPr>
  </w:style>
  <w:style w:type="character" w:styleId="ac">
    <w:name w:val="Hyperlink"/>
    <w:basedOn w:val="a0"/>
    <w:uiPriority w:val="99"/>
    <w:unhideWhenUsed/>
    <w:rPr>
      <w:color w:val="0000FF"/>
      <w:u w:val="single"/>
    </w:rPr>
  </w:style>
  <w:style w:type="character" w:styleId="ad">
    <w:name w:val="annotation reference"/>
    <w:rPr>
      <w:sz w:val="21"/>
      <w:szCs w:val="21"/>
    </w:rPr>
  </w:style>
  <w:style w:type="paragraph" w:customStyle="1" w:styleId="p0">
    <w:name w:val="p0"/>
    <w:basedOn w:val="a"/>
    <w:pPr>
      <w:widowControl/>
    </w:pPr>
    <w:rPr>
      <w:kern w:val="0"/>
      <w:szCs w:val="21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宋体" w:hAnsi="宋体" w:hint="eastAsia"/>
      <w:color w:val="000000"/>
      <w:sz w:val="24"/>
      <w:szCs w:val="22"/>
    </w:rPr>
  </w:style>
  <w:style w:type="paragraph" w:customStyle="1" w:styleId="10">
    <w:name w:val="列出段落1"/>
    <w:basedOn w:val="a"/>
    <w:uiPriority w:val="99"/>
    <w:qFormat/>
    <w:pPr>
      <w:ind w:firstLineChars="200" w:firstLine="420"/>
    </w:pPr>
  </w:style>
  <w:style w:type="paragraph" w:customStyle="1" w:styleId="11">
    <w:name w:val="正文1"/>
    <w:pPr>
      <w:jc w:val="both"/>
    </w:pPr>
    <w:rPr>
      <w:kern w:val="2"/>
      <w:sz w:val="21"/>
      <w:szCs w:val="21"/>
    </w:rPr>
  </w:style>
  <w:style w:type="character" w:customStyle="1" w:styleId="16">
    <w:name w:val="16"/>
    <w:rPr>
      <w:rFonts w:ascii="Times New Roman" w:hAnsi="Times New Roman" w:cs="Times New Roman" w:hint="default"/>
      <w:color w:val="0000FF"/>
      <w:sz w:val="20"/>
      <w:szCs w:val="20"/>
      <w:u w:val="single"/>
    </w:rPr>
  </w:style>
  <w:style w:type="character" w:customStyle="1" w:styleId="3Char">
    <w:name w:val="标题 3 Char"/>
    <w:link w:val="3"/>
    <w:uiPriority w:val="9"/>
    <w:qFormat/>
    <w:rPr>
      <w:rFonts w:ascii="宋体" w:hAnsi="宋体" w:cs="宋体"/>
      <w:b/>
      <w:bCs/>
      <w:sz w:val="27"/>
      <w:szCs w:val="27"/>
    </w:rPr>
  </w:style>
  <w:style w:type="character" w:customStyle="1" w:styleId="Char0">
    <w:name w:val="批注文字 Char"/>
    <w:link w:val="a4"/>
    <w:rPr>
      <w:kern w:val="2"/>
      <w:sz w:val="21"/>
      <w:szCs w:val="24"/>
    </w:rPr>
  </w:style>
  <w:style w:type="character" w:customStyle="1" w:styleId="1Char">
    <w:name w:val="标题 1 Char"/>
    <w:link w:val="1"/>
    <w:qFormat/>
    <w:rPr>
      <w:b/>
      <w:bCs/>
      <w:kern w:val="44"/>
      <w:sz w:val="44"/>
      <w:szCs w:val="44"/>
    </w:rPr>
  </w:style>
  <w:style w:type="character" w:customStyle="1" w:styleId="Char">
    <w:name w:val="批注主题 Char"/>
    <w:link w:val="a3"/>
    <w:qFormat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398</Words>
  <Characters>2274</Characters>
  <Application>Microsoft Office Word</Application>
  <DocSecurity>0</DocSecurity>
  <Lines>18</Lines>
  <Paragraphs>5</Paragraphs>
  <ScaleCrop>false</ScaleCrop>
  <Company>msk</Company>
  <LinksUpToDate>false</LinksUpToDate>
  <CharactersWithSpaces>2667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北京市东城区人民政府</dc:title>
  <dc:creator>user</dc:creator>
  <cp:lastModifiedBy>杨宁</cp:lastModifiedBy>
  <cp:revision>5</cp:revision>
  <cp:lastPrinted>2022-11-02T07:13:00Z</cp:lastPrinted>
  <dcterms:created xsi:type="dcterms:W3CDTF">2022-09-15T10:13:00Z</dcterms:created>
  <dcterms:modified xsi:type="dcterms:W3CDTF">2022-11-16T09:12:00Z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2052-9.1.0.5012</vt:lpwstr>
  </property>
  <property fmtid="{D5CDD505-2E9C-101B-9397-08002B2CF9AE}" pid="3" name="ICV">
    <vt:lpwstr>B6AA375C146A4FDD8F322B4B5086C6E9</vt:lpwstr>
  </property>
</Properties>
</file>