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1A5284"/>
        <w:spacing w:before="0" w:beforeAutospacing="0" w:after="0" w:afterAutospacing="0"/>
        <w:ind w:left="0" w:right="0"/>
        <w:jc w:val="left"/>
      </w:pPr>
      <w:r>
        <w:rPr>
          <w:rFonts w:ascii="宋体" w:hAnsi="宋体" w:eastAsia="宋体" w:cs="宋体"/>
          <w:color w:val="333333"/>
          <w:sz w:val="24"/>
          <w:szCs w:val="24"/>
          <w:u w:val="none"/>
          <w:bdr w:val="none" w:color="auto" w:sz="0" w:space="0"/>
          <w:shd w:val="clear" w:fill="1A5284"/>
        </w:rPr>
        <w:drawing>
          <wp:inline distT="0" distB="0" distL="114300" distR="114300">
            <wp:extent cx="5715000" cy="561975"/>
            <wp:effectExtent l="0" t="0" r="0" b="9525"/>
            <wp:docPr id="1"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715000" cy="561975"/>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firstLine="0"/>
        <w:jc w:val="left"/>
        <w:rPr>
          <w:rFonts w:ascii="微软雅黑" w:hAnsi="微软雅黑" w:eastAsia="微软雅黑" w:cs="微软雅黑"/>
          <w:b w:val="0"/>
          <w:i w:val="0"/>
          <w:caps w:val="0"/>
          <w:color w:val="666666"/>
          <w:spacing w:val="0"/>
          <w:sz w:val="18"/>
          <w:szCs w:val="18"/>
        </w:rPr>
      </w:pP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begin"/>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instrText xml:space="preserve"> HYPERLINK "https://www.ndrc.gov.cn/" </w:instrTex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separate"/>
      </w:r>
      <w:r>
        <w:rPr>
          <w:rStyle w:val="7"/>
          <w:rFonts w:hint="eastAsia" w:ascii="微软雅黑" w:hAnsi="微软雅黑" w:eastAsia="微软雅黑" w:cs="微软雅黑"/>
          <w:b w:val="0"/>
          <w:i w:val="0"/>
          <w:caps w:val="0"/>
          <w:color w:val="333333"/>
          <w:spacing w:val="0"/>
          <w:sz w:val="18"/>
          <w:szCs w:val="18"/>
          <w:u w:val="none"/>
          <w:bdr w:val="none" w:color="auto" w:sz="0" w:space="0"/>
        </w:rPr>
        <w:t>首页</w: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end"/>
      </w:r>
      <w:r>
        <w:rPr>
          <w:rFonts w:hint="eastAsia" w:ascii="微软雅黑" w:hAnsi="微软雅黑" w:eastAsia="微软雅黑" w:cs="微软雅黑"/>
          <w:b w:val="0"/>
          <w:i w:val="0"/>
          <w:caps w:val="0"/>
          <w:color w:val="666666"/>
          <w:spacing w:val="0"/>
          <w:kern w:val="0"/>
          <w:sz w:val="18"/>
          <w:szCs w:val="18"/>
          <w:lang w:val="en-US" w:eastAsia="zh-CN" w:bidi="ar"/>
        </w:rPr>
        <w:t> &gt; </w: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begin"/>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instrText xml:space="preserve"> HYPERLINK "https://www.ndrc.gov.cn/xxgk/" </w:instrTex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separate"/>
      </w:r>
      <w:r>
        <w:rPr>
          <w:rStyle w:val="7"/>
          <w:rFonts w:hint="eastAsia" w:ascii="微软雅黑" w:hAnsi="微软雅黑" w:eastAsia="微软雅黑" w:cs="微软雅黑"/>
          <w:b w:val="0"/>
          <w:i w:val="0"/>
          <w:caps w:val="0"/>
          <w:color w:val="333333"/>
          <w:spacing w:val="0"/>
          <w:sz w:val="18"/>
          <w:szCs w:val="18"/>
          <w:u w:val="none"/>
          <w:bdr w:val="none" w:color="auto" w:sz="0" w:space="0"/>
        </w:rPr>
        <w:t>政务公开</w: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end"/>
      </w:r>
      <w:r>
        <w:rPr>
          <w:rFonts w:hint="eastAsia" w:ascii="微软雅黑" w:hAnsi="微软雅黑" w:eastAsia="微软雅黑" w:cs="微软雅黑"/>
          <w:b w:val="0"/>
          <w:i w:val="0"/>
          <w:caps w:val="0"/>
          <w:color w:val="666666"/>
          <w:spacing w:val="0"/>
          <w:kern w:val="0"/>
          <w:sz w:val="18"/>
          <w:szCs w:val="18"/>
          <w:lang w:val="en-US" w:eastAsia="zh-CN" w:bidi="ar"/>
        </w:rPr>
        <w:t> &gt; </w: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begin"/>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instrText xml:space="preserve"> HYPERLINK "https://www.ndrc.gov.cn/xxgk/jd/" </w:instrTex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separate"/>
      </w:r>
      <w:r>
        <w:rPr>
          <w:rStyle w:val="7"/>
          <w:rFonts w:hint="eastAsia" w:ascii="微软雅黑" w:hAnsi="微软雅黑" w:eastAsia="微软雅黑" w:cs="微软雅黑"/>
          <w:b w:val="0"/>
          <w:i w:val="0"/>
          <w:caps w:val="0"/>
          <w:color w:val="333333"/>
          <w:spacing w:val="0"/>
          <w:sz w:val="18"/>
          <w:szCs w:val="18"/>
          <w:u w:val="none"/>
          <w:bdr w:val="none" w:color="auto" w:sz="0" w:space="0"/>
        </w:rPr>
        <w:t>解读</w:t>
      </w:r>
      <w:r>
        <w:rPr>
          <w:rFonts w:hint="eastAsia" w:ascii="微软雅黑" w:hAnsi="微软雅黑" w:eastAsia="微软雅黑" w:cs="微软雅黑"/>
          <w:b w:val="0"/>
          <w:i w:val="0"/>
          <w:caps w:val="0"/>
          <w:color w:val="333333"/>
          <w:spacing w:val="0"/>
          <w:kern w:val="0"/>
          <w:sz w:val="18"/>
          <w:szCs w:val="18"/>
          <w:u w:val="none"/>
          <w:bdr w:val="none" w:color="auto" w:sz="0" w:space="0"/>
          <w:lang w:val="en-US" w:eastAsia="zh-CN" w:bidi="ar"/>
        </w:rPr>
        <w:fldChar w:fldCharType="end"/>
      </w:r>
      <w:r>
        <w:rPr>
          <w:rFonts w:hint="eastAsia" w:ascii="微软雅黑" w:hAnsi="微软雅黑" w:eastAsia="微软雅黑" w:cs="微软雅黑"/>
          <w:b w:val="0"/>
          <w:i w:val="0"/>
          <w:caps w:val="0"/>
          <w:color w:val="666666"/>
          <w:spacing w:val="0"/>
          <w:kern w:val="0"/>
          <w:sz w:val="18"/>
          <w:szCs w:val="18"/>
          <w:lang w:val="en-US" w:eastAsia="zh-CN" w:bidi="ar"/>
        </w:rPr>
        <w:t> &gt; </w:t>
      </w:r>
      <w:r>
        <w:rPr>
          <w:rFonts w:hint="eastAsia" w:ascii="微软雅黑" w:hAnsi="微软雅黑" w:eastAsia="微软雅黑" w:cs="微软雅黑"/>
          <w:b w:val="0"/>
          <w:i w:val="0"/>
          <w:caps w:val="0"/>
          <w:color w:val="1A5284"/>
          <w:spacing w:val="0"/>
          <w:kern w:val="0"/>
          <w:sz w:val="18"/>
          <w:szCs w:val="18"/>
          <w:u w:val="none"/>
          <w:bdr w:val="none" w:color="auto" w:sz="0" w:space="0"/>
          <w:lang w:val="en-US" w:eastAsia="zh-CN" w:bidi="ar"/>
        </w:rPr>
        <w:fldChar w:fldCharType="begin"/>
      </w:r>
      <w:r>
        <w:rPr>
          <w:rFonts w:hint="eastAsia" w:ascii="微软雅黑" w:hAnsi="微软雅黑" w:eastAsia="微软雅黑" w:cs="微软雅黑"/>
          <w:b w:val="0"/>
          <w:i w:val="0"/>
          <w:caps w:val="0"/>
          <w:color w:val="1A5284"/>
          <w:spacing w:val="0"/>
          <w:kern w:val="0"/>
          <w:sz w:val="18"/>
          <w:szCs w:val="18"/>
          <w:u w:val="none"/>
          <w:bdr w:val="none" w:color="auto" w:sz="0" w:space="0"/>
          <w:lang w:val="en-US" w:eastAsia="zh-CN" w:bidi="ar"/>
        </w:rPr>
        <w:instrText xml:space="preserve"> HYPERLINK "https://www.ndrc.gov.cn/xxgk/jd/jd/" </w:instrText>
      </w:r>
      <w:r>
        <w:rPr>
          <w:rFonts w:hint="eastAsia" w:ascii="微软雅黑" w:hAnsi="微软雅黑" w:eastAsia="微软雅黑" w:cs="微软雅黑"/>
          <w:b w:val="0"/>
          <w:i w:val="0"/>
          <w:caps w:val="0"/>
          <w:color w:val="1A5284"/>
          <w:spacing w:val="0"/>
          <w:kern w:val="0"/>
          <w:sz w:val="18"/>
          <w:szCs w:val="18"/>
          <w:u w:val="none"/>
          <w:bdr w:val="none" w:color="auto" w:sz="0" w:space="0"/>
          <w:lang w:val="en-US" w:eastAsia="zh-CN" w:bidi="ar"/>
        </w:rPr>
        <w:fldChar w:fldCharType="separate"/>
      </w:r>
      <w:r>
        <w:rPr>
          <w:rStyle w:val="7"/>
          <w:rFonts w:hint="eastAsia" w:ascii="微软雅黑" w:hAnsi="微软雅黑" w:eastAsia="微软雅黑" w:cs="微软雅黑"/>
          <w:b w:val="0"/>
          <w:i w:val="0"/>
          <w:caps w:val="0"/>
          <w:color w:val="1A5284"/>
          <w:spacing w:val="0"/>
          <w:sz w:val="18"/>
          <w:szCs w:val="18"/>
          <w:u w:val="none"/>
          <w:bdr w:val="none" w:color="auto" w:sz="0" w:space="0"/>
        </w:rPr>
        <w:t>政策解读</w:t>
      </w:r>
      <w:r>
        <w:rPr>
          <w:rFonts w:hint="eastAsia" w:ascii="微软雅黑" w:hAnsi="微软雅黑" w:eastAsia="微软雅黑" w:cs="微软雅黑"/>
          <w:b w:val="0"/>
          <w:i w:val="0"/>
          <w:caps w:val="0"/>
          <w:color w:val="1A5284"/>
          <w:spacing w:val="0"/>
          <w:kern w:val="0"/>
          <w:sz w:val="18"/>
          <w:szCs w:val="18"/>
          <w:u w:val="none"/>
          <w:bdr w:val="none" w:color="auto" w:sz="0" w:space="0"/>
          <w:lang w:val="en-US" w:eastAsia="zh-CN" w:bidi="ar"/>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rPr>
          <w:sz w:val="24"/>
          <w:szCs w:val="24"/>
        </w:rPr>
      </w:pPr>
      <w:bookmarkStart w:id="0" w:name="_GoBack"/>
      <w:r>
        <w:rPr>
          <w:i w:val="0"/>
          <w:caps w:val="0"/>
          <w:color w:val="333333"/>
          <w:spacing w:val="0"/>
          <w:sz w:val="24"/>
          <w:szCs w:val="24"/>
          <w:bdr w:val="none" w:color="auto" w:sz="0" w:space="0"/>
          <w:shd w:val="clear" w:fill="FFFFFF"/>
        </w:rPr>
        <w:t>关于《关于做好享受税收优惠政策的集成电路企业或项目、软件企业清单制定工作有关要求的通知》有关问题的解答</w:t>
      </w:r>
    </w:p>
    <w:bookmarkEnd w:id="0"/>
    <w:p>
      <w:pPr>
        <w:keepNext w:val="0"/>
        <w:keepLines w:val="0"/>
        <w:widowControl/>
        <w:suppressLineNumbers w:val="0"/>
        <w:pBdr>
          <w:bottom w:val="single" w:color="DDDDDD" w:sz="6" w:space="0"/>
        </w:pBdr>
        <w:shd w:val="clear" w:fill="FFFFFF"/>
        <w:spacing w:before="0" w:beforeAutospacing="0" w:after="0" w:afterAutospacing="0" w:line="27" w:lineRule="atLeast"/>
        <w:ind w:left="0" w:right="0" w:firstLine="0"/>
        <w:jc w:val="left"/>
        <w:rPr>
          <w:rFonts w:hint="eastAsia" w:ascii="微软雅黑" w:hAnsi="微软雅黑" w:eastAsia="微软雅黑" w:cs="微软雅黑"/>
          <w:b w:val="0"/>
          <w:i w:val="0"/>
          <w:caps w:val="0"/>
          <w:color w:val="666666"/>
          <w:spacing w:val="0"/>
          <w:sz w:val="18"/>
          <w:szCs w:val="18"/>
        </w:rPr>
      </w:pPr>
      <w:r>
        <w:rPr>
          <w:rFonts w:hint="eastAsia" w:ascii="微软雅黑" w:hAnsi="微软雅黑" w:eastAsia="微软雅黑" w:cs="微软雅黑"/>
          <w:b w:val="0"/>
          <w:i w:val="0"/>
          <w:caps w:val="0"/>
          <w:color w:val="666666"/>
          <w:spacing w:val="0"/>
          <w:kern w:val="0"/>
          <w:sz w:val="18"/>
          <w:szCs w:val="18"/>
          <w:shd w:val="clear" w:fill="FFFFFF"/>
          <w:lang w:val="en-US" w:eastAsia="zh-CN" w:bidi="ar"/>
        </w:rPr>
        <w:t>2021/03/31 高技术司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近日，《关于做好享受税收优惠政策的集成电路企业或项目、软件企业清单制定工作有关要求的通知》（发改高技〔2021〕413号，以下简称《通知》）正式印发，网上信息填报工作同步启动。为积极回应社会关切，帮助企业更好享受政策优惠，国家发展改革委等有关部门对征求意见阶段企业普遍关心的问题进行了解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一、这次清单制定工作重点突出了哪些政策导向？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集成电路产业和软件产业是信息产业的核心，是引领新一轮科技革命和产业变革的关键力量，为进一步优化产业发展环境，深化国际合作，提升产业创新能力和发展质量，2020年7月，国务院印发了《新时期促进集成电路产业和软件产业高质量发展的若干政策》（国发〔2020〕8号），做好享受税收优惠政策的集成电路和软件企业清单制定工作，是贯彻落实国发8号文件有关税收政策的重要举措。清单制定工作围绕支持产业高质量发展，突出四个导向：一是引导技术进步和创新导向，提高对企业研发强度、研发人员占比、拥有知识产权和著作权数量等要求。二是专业化发展导向，提高了重点软件企业和集成电路设计企业从事专业领域收入占比要求，并将重点软件企业的支持政策进一步向专业开发软件的企业倾斜。三是问题和目标导向，对于制约高质量发展的短板领域给予倾斜支持。四是公开透明和便企利企导向，明确企业享受税收优惠政策的门槛和条件，企业不分所有制性质，只要符合产业政策和基本的申报条件，都能通过互联网信息填报系统，“对号入座”申请享受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二、政策制定经过了哪些程序？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答：主要经过了3个程序：一是有关部门详细梳理了《财政部 国家税务总局 发展改革委 工业和信息化部关于软件和集成电路产业企业所得税优惠政策有关问题的通知》（财税〔2016〕49号）文件落实情况、取得的成效和存在的问题，广泛听取行业骨干企业、行业协会和专家的意见建议。二是对不同领域企业研发人员占比、应纳税所得额、研发强度等关键指标，进行了分析测算，对照有关规划和国发8号文件要求，进行了调整。三是2021年2月初，《通知》面向全社会公开征求意见，共收到100多条意见。有关部门逐条对企业提出的意见进行了梳理，结合工作实际和政策初衷，对意见进行了吸收采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三、为什么企业网上进行信息填报后，还需要提供纸质证明材料？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能否享受税收优惠政策，需要根据大量佐证材料进行严格审查。这次采用企业在信息填报系统上填报必要信息，由地方部门辅助进行书面材料审查的方式，主要是考虑到企业合同列表、具体设备型号、研发人员等材料可能涉及商业秘密，不便在互联网信息系统上填报，改由企业向当地省级发展改革委或工业和信息化主管部门提供纸质材料和电子版材料。按照《优化营商环境条例》规定，企业仅需向一个部门提交纸质材料，具体提交方式请咨询地方发展改革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四、为什么企业申报一定要在4月16日前结束？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答：按照2020年12月15日印发的《财政部 税务总局 发展改革委 工业和信息化部关于促进集成电路产业和软件产业高质量发展企业所得税政策的公告》（2020年第45号）部署，国发8号文件明确的所得税优惠政策从2020年1月1日起执行，而所得税汇算清缴一般在次年5月31日前结束。很多企业提出希望在汇算清缴前确定清单，以便更好进行所得税申报。但客观上，有关部门需根据工艺水平、专业领域、收入规模等条件确定企业能否享受税收优惠，这就需要开展大量核对和查实工作。为最大限度地给企业留足申报时间，有关部门已倒排时间表，大幅压缩初核、复核、部门会商时间，将企业申报截止时间定到4月16日。部分企业反映，由于特殊原因不能确保4月16日前提供经审计的会计报告。为此，《通知》允许企业4月16日申报工作结束后，10个工作日内在网上补充提交经审计的会计报告和相应的专项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五、什么是属于本企业的专利？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主要指法人主体独立拥有的专利，包括申报税收优惠的法人主体独立拥有的、已经主管部门授权的专利，以及已成功购买的独占专利。需要说明的是，有的申报企业属于某一集团公司的下属子公司，母公司授权子公司使用的专利不属于子公司独立拥有的专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六、为什么大幅提高研发强度和专利标准？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大幅提升创新能力是推进产业高质量发展的关键，国家鼓励的集成电路企业、项目和软件企业应该具备一定的自主研发能力，拥有必要的知识产权。特别是国家鼓励的重点集成电路设计企业和重点软件企业，应该是加大研发投入、掌握核心技术和知识产权的典范。对于过去曾经享受优惠政策而此次无法满足研发强度和专利标准的企业，建议主动适应政策导向，更加注重知识产权和研发投入，加快成长为创新型的领军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七、为什么要限定软件企业领域范围？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财税〔2016〕49号文件和以往的重点软件企业标准，一般分为三大类：第一类是规模较大的软件企业、第二类是部分细分专业领域骨干企业、第三类是软件出口型企业，主要是突出规模导向，扶持企业做大做强。国发8号文件进一步强调提升产业创新能力和发展质量，突出高质量发展导向，这就要求根据不同行业领域的特点和国家发展战略精准施策，而不能单纯考虑规模因素。领域范围的划分不是一成不变的，下一步享受优惠政策的条件和范围，将根据产业技术进步情况进行动态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八、为什么要限定信息技术服务的范围？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国家鼓励的重点软件企业主要是指专业开发软件的企业，但随着软件服务化的兴起，一些软件产品的销售通过云服务、网上授权等服务化方式实现的，这就需要将部分信息技术服务收入视同软件收入。随着我国产业数字化和数字产业化的深入推行，很多传统服务、金融服务、娱乐服务等都通过信息技术服务的形式提供，这些服务的数字化形态，不能算作国家鼓励的重点软件领域。为避免“软件”概念泛化，进一步聚焦政策支持重点，有必要将享受税收优惠政策的范围聚焦到软件产品销售收入和与实现软件产品功能直接相关的咨询设计、软件运维、数据服务收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九、为什么只有基础软件、研发设计类工业软件不要求应纳税所得额，而且收入规模仅限定在5000万元以上？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基础软件和研发设计工业软件是我国软件行业较为薄弱的短板领域，需要大力支持发展，积极培育有竞争力的市场主体。此次修订政策标准，在详细摸排产业情况，充分考虑这类企业实际情况的前提下，最终设定了5000万元收入的门槛。同时，为了使国发8号文中明确的“国家鼓励的重点集成电路设计企业和软件企业，自获利年度起，第一年至第五年免征企业所得税”政策真正发挥作用，持续支持重点领域软件企业发展，不再设定这几个领域企业享受所得税优惠政策的应纳税所得额门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w:t>
      </w:r>
      <w:r>
        <w:rPr>
          <w:rFonts w:hint="eastAsia" w:ascii="微软雅黑" w:hAnsi="微软雅黑" w:eastAsia="微软雅黑" w:cs="微软雅黑"/>
          <w:b/>
          <w:i w:val="0"/>
          <w:caps w:val="0"/>
          <w:color w:val="333333"/>
          <w:spacing w:val="0"/>
          <w:sz w:val="21"/>
          <w:szCs w:val="21"/>
          <w:bdr w:val="none" w:color="auto" w:sz="0" w:space="0"/>
          <w:shd w:val="clear" w:fill="FFFFFF"/>
        </w:rPr>
        <w:t>十、企业如何获知是否被纳入清单，享受税收优惠政策？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 w:lineRule="atLeast"/>
        <w:ind w:left="0" w:right="0"/>
        <w:rPr>
          <w:sz w:val="21"/>
          <w:szCs w:val="21"/>
        </w:rPr>
      </w:pPr>
      <w:r>
        <w:rPr>
          <w:rFonts w:hint="eastAsia" w:ascii="微软雅黑" w:hAnsi="微软雅黑" w:eastAsia="微软雅黑" w:cs="微软雅黑"/>
          <w:b w:val="0"/>
          <w:i w:val="0"/>
          <w:caps w:val="0"/>
          <w:color w:val="333333"/>
          <w:spacing w:val="0"/>
          <w:sz w:val="21"/>
          <w:szCs w:val="21"/>
          <w:bdr w:val="none" w:color="auto" w:sz="0" w:space="0"/>
          <w:shd w:val="clear" w:fill="FFFFFF"/>
        </w:rPr>
        <w:t>　　答：申请享受《若干政策》第（一）、（三）、（六）、（七）条，以及《财政部 海关总署 税务总局关于支持集成电路产业和软件产业发展进口税收政策的通知》（财关税〔2021〕4号）提及的关税优惠政策的，可于汇算清缴结束前（5月31日前），在信息填报系统中查询是否列入清单。享受《若干政策》第（八）条优惠政策的，由企业所在地直属海关告知相关企业。</w:t>
      </w:r>
    </w:p>
    <w:p/>
    <w:p>
      <w:r>
        <w:rPr>
          <w:rFonts w:hint="eastAsia"/>
          <w:lang w:eastAsia="zh-CN"/>
        </w:rPr>
        <w:t>链接：</w:t>
      </w:r>
      <w:r>
        <w:rPr>
          <w:rFonts w:hint="eastAsia"/>
        </w:rPr>
        <w:t>https://www.ndrc.gov.cn/xxgk/jd/jd/202103/t20210331_1271319_ext.html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744F1F"/>
    <w:rsid w:val="6AAD5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 w:type="paragraph" w:customStyle="1" w:styleId="8">
    <w:name w:val="样式1"/>
    <w:basedOn w:val="1"/>
    <w:uiPriority w:val="0"/>
    <w:rPr>
      <w:rFonts w:eastAsia="仿宋_GB2312" w:asciiTheme="minorAscii" w:hAnsiTheme="minorAscii"/>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hyperlink" Target="https://www.ndrc.gov.cn/"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2021-03-31T03:28:00Z</dcterms:created>
  <dc:creator>User</dc:creator>
  <cp:lastModifiedBy>LiY</cp:lastModifiedBy>
  <dcterms:modified xsi:type="dcterms:W3CDTF">2021-04-01T10:23:30Z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