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outlineLvl w:val="0"/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  <w:lang w:val="en-US" w:eastAsia="zh-CN"/>
        </w:rPr>
        <w:t>附件2：</w:t>
      </w: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/>
        <w:jc w:val="center"/>
        <w:textAlignment w:val="auto"/>
        <w:outlineLvl w:val="1"/>
        <w:rPr>
          <w:rFonts w:ascii="方正小标宋简体" w:hAnsi="方正小标宋简体" w:eastAsia="方正小标宋简体" w:cs="方正小标宋_GBK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_GBK"/>
          <w:sz w:val="44"/>
          <w:szCs w:val="44"/>
          <w:lang w:val="en-US"/>
        </w:rPr>
        <w:t>北京经济技术开发区公共阅读空间</w:t>
      </w:r>
      <w:r>
        <w:rPr>
          <w:rFonts w:hint="eastAsia" w:ascii="方正小标宋简体" w:hAnsi="方正小标宋简体" w:eastAsia="方正小标宋简体" w:cs="方正小标宋_GBK"/>
          <w:sz w:val="44"/>
          <w:szCs w:val="44"/>
        </w:rPr>
        <w:t>考核指标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/>
        <w:jc w:val="center"/>
        <w:textAlignment w:val="auto"/>
        <w:outlineLvl w:val="1"/>
        <w:rPr>
          <w:rFonts w:ascii="宋体"/>
          <w:sz w:val="20"/>
          <w:lang w:val="en-US"/>
        </w:rPr>
      </w:pPr>
      <w:r>
        <w:rPr>
          <w:rFonts w:hint="eastAsia"/>
          <w:b/>
          <w:bCs/>
        </w:rPr>
        <w:t>（</w:t>
      </w:r>
      <w:r>
        <w:rPr>
          <w:rFonts w:hint="eastAsia"/>
          <w:b/>
          <w:bCs/>
          <w:lang w:val="en-US"/>
        </w:rPr>
        <w:t>60分以上为合格）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/>
        <w:jc w:val="center"/>
        <w:textAlignment w:val="auto"/>
        <w:outlineLvl w:val="1"/>
        <w:rPr>
          <w:rFonts w:hint="eastAsia"/>
          <w:b/>
          <w:bCs/>
          <w:lang w:val="en-US"/>
        </w:rPr>
      </w:pPr>
    </w:p>
    <w:tbl>
      <w:tblPr>
        <w:tblStyle w:val="5"/>
        <w:tblpPr w:leftFromText="180" w:rightFromText="180" w:vertAnchor="text" w:horzAnchor="page" w:tblpX="1155" w:tblpY="72"/>
        <w:tblOverlap w:val="never"/>
        <w:tblW w:w="975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1"/>
        <w:gridCol w:w="912"/>
        <w:gridCol w:w="7000"/>
        <w:gridCol w:w="9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871" w:type="dxa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163" w:line="560" w:lineRule="exact"/>
              <w:ind w:left="91" w:right="82"/>
              <w:textAlignment w:val="auto"/>
              <w:rPr>
                <w:rFonts w:ascii="方正黑体_GBK" w:hAnsi="方正黑体_GBK" w:eastAsia="方正黑体_GBK" w:cs="方正黑体_GBK"/>
                <w:bCs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8"/>
                <w:szCs w:val="28"/>
              </w:rPr>
              <w:t>序号</w:t>
            </w:r>
          </w:p>
        </w:tc>
        <w:tc>
          <w:tcPr>
            <w:tcW w:w="912" w:type="dxa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163" w:line="560" w:lineRule="exact"/>
              <w:ind w:left="124" w:right="119"/>
              <w:textAlignment w:val="auto"/>
              <w:rPr>
                <w:rFonts w:ascii="方正黑体_GBK" w:hAnsi="方正黑体_GBK" w:eastAsia="方正黑体_GBK" w:cs="方正黑体_GBK"/>
                <w:bCs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8"/>
                <w:szCs w:val="28"/>
              </w:rPr>
              <w:t>项目</w:t>
            </w:r>
          </w:p>
        </w:tc>
        <w:tc>
          <w:tcPr>
            <w:tcW w:w="7000" w:type="dxa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163" w:line="560" w:lineRule="exact"/>
              <w:ind w:left="2786" w:right="2778"/>
              <w:jc w:val="center"/>
              <w:textAlignment w:val="auto"/>
              <w:rPr>
                <w:rFonts w:ascii="方正黑体_GBK" w:hAnsi="方正黑体_GBK" w:eastAsia="方正黑体_GBK" w:cs="方正黑体_GBK"/>
                <w:bCs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8"/>
                <w:szCs w:val="28"/>
              </w:rPr>
              <w:t>内容</w:t>
            </w:r>
          </w:p>
        </w:tc>
        <w:tc>
          <w:tcPr>
            <w:tcW w:w="975" w:type="dxa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163" w:line="560" w:lineRule="exact"/>
              <w:ind w:left="132" w:right="125"/>
              <w:textAlignment w:val="auto"/>
              <w:rPr>
                <w:rFonts w:ascii="方正黑体_GBK" w:hAnsi="方正黑体_GBK" w:eastAsia="方正黑体_GBK" w:cs="方正黑体_GBK"/>
                <w:bCs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8"/>
                <w:szCs w:val="28"/>
              </w:rPr>
              <w:t>分值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87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912" w:type="dxa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开放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时间</w:t>
            </w:r>
          </w:p>
        </w:tc>
        <w:tc>
          <w:tcPr>
            <w:tcW w:w="7000" w:type="dxa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每周开放时间不少于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45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小时；按公示时间开放；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可根据开放时长进行考核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。</w:t>
            </w:r>
          </w:p>
        </w:tc>
        <w:tc>
          <w:tcPr>
            <w:tcW w:w="97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7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</w:trPr>
        <w:tc>
          <w:tcPr>
            <w:tcW w:w="87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912" w:type="dxa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基础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标准</w:t>
            </w:r>
          </w:p>
        </w:tc>
        <w:tc>
          <w:tcPr>
            <w:tcW w:w="7000" w:type="dxa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（1）公共阅读空间书籍数量不少于500本，其中弘扬社会主义核心价值观的书籍不少于1/10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；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（2）图书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年更新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量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占馆藏总量的 1/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以上，要求图书品种全、质量优、出版年代新。</w:t>
            </w:r>
          </w:p>
        </w:tc>
        <w:tc>
          <w:tcPr>
            <w:tcW w:w="97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7" w:hRule="atLeast"/>
        </w:trPr>
        <w:tc>
          <w:tcPr>
            <w:tcW w:w="871" w:type="dxa"/>
            <w:tcBorders>
              <w:bottom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912" w:type="dxa"/>
            <w:tcBorders>
              <w:bottom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设施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保障</w:t>
            </w:r>
          </w:p>
        </w:tc>
        <w:tc>
          <w:tcPr>
            <w:tcW w:w="7000" w:type="dxa"/>
            <w:tcBorders>
              <w:bottom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1）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消防设施完好，标志清晰；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2）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属地安保人员对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公共阅读空间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内消防器材等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设施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进行日常自查并保存相关记录及工作总结；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（3）公共阅读空间具有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突发事件及自然灾害的应急预案；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（4）设施干净整洁，运行良好。包括照明、空调、电力、网络等各类设施；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5）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图书排架整齐有序，桌、椅、书架及地面无破损，照明符合国家阅读标准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。</w:t>
            </w:r>
          </w:p>
        </w:tc>
        <w:tc>
          <w:tcPr>
            <w:tcW w:w="975" w:type="dxa"/>
            <w:tcBorders>
              <w:bottom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right="125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7" w:hRule="atLeast"/>
        </w:trPr>
        <w:tc>
          <w:tcPr>
            <w:tcW w:w="871" w:type="dxa"/>
            <w:tcBorders>
              <w:top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912" w:type="dxa"/>
            <w:tcBorders>
              <w:top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活动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管理</w:t>
            </w:r>
          </w:p>
        </w:tc>
        <w:tc>
          <w:tcPr>
            <w:tcW w:w="7000" w:type="dxa"/>
            <w:tcBorders>
              <w:top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（1）公共阅读空间年活动场次不少于10场或年参加活动人次不少于300人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；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（2）达标公共阅读空间可获得5分，每增加3场或100人可增加1分。</w:t>
            </w:r>
          </w:p>
        </w:tc>
        <w:tc>
          <w:tcPr>
            <w:tcW w:w="975" w:type="dxa"/>
            <w:tcBorders>
              <w:top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right="125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4" w:hRule="atLeast"/>
        </w:trPr>
        <w:tc>
          <w:tcPr>
            <w:tcW w:w="87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912" w:type="dxa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日常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管理</w:t>
            </w:r>
          </w:p>
        </w:tc>
        <w:tc>
          <w:tcPr>
            <w:tcW w:w="7000" w:type="dxa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（1）坚持公益性为主、盈利性为辅的原则，做好综合性服务工作，确保读者的公共阅读权益；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（2）图书排架正确率不低于 90%；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（3）建立长效志愿者管理机制，有记录有存档。</w:t>
            </w:r>
          </w:p>
        </w:tc>
        <w:tc>
          <w:tcPr>
            <w:tcW w:w="97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right="125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7" w:hRule="atLeast"/>
        </w:trPr>
        <w:tc>
          <w:tcPr>
            <w:tcW w:w="87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912" w:type="dxa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协作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协调</w:t>
            </w:r>
          </w:p>
        </w:tc>
        <w:tc>
          <w:tcPr>
            <w:tcW w:w="7000" w:type="dxa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（1）可及时解决日常运行中的问题，应答迅速、处理及时；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（2）与经开区工委宣传文化部建立长效联络机制，专人管理，做到信息畅通；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（3）配合做好临时性的服务工作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。</w:t>
            </w:r>
          </w:p>
        </w:tc>
        <w:tc>
          <w:tcPr>
            <w:tcW w:w="97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1" w:line="560" w:lineRule="exact"/>
              <w:ind w:right="125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2" w:hRule="atLeast"/>
        </w:trPr>
        <w:tc>
          <w:tcPr>
            <w:tcW w:w="87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912" w:type="dxa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宣传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推广</w:t>
            </w:r>
          </w:p>
        </w:tc>
        <w:tc>
          <w:tcPr>
            <w:tcW w:w="7000" w:type="dxa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（1）利用新媒体开展公共阅读空间宣传工作，如：新书推荐、公共阅读空间新动态、新信息等；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（2）开展与阅读相关的活动。</w:t>
            </w:r>
          </w:p>
        </w:tc>
        <w:tc>
          <w:tcPr>
            <w:tcW w:w="97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87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912" w:type="dxa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服务效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能</w:t>
            </w:r>
          </w:p>
        </w:tc>
        <w:tc>
          <w:tcPr>
            <w:tcW w:w="7000" w:type="dxa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统计年流通人次、年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图书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流通量等</w:t>
            </w:r>
          </w:p>
        </w:tc>
        <w:tc>
          <w:tcPr>
            <w:tcW w:w="97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right="125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4" w:hRule="atLeast"/>
        </w:trPr>
        <w:tc>
          <w:tcPr>
            <w:tcW w:w="87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</w:t>
            </w:r>
          </w:p>
        </w:tc>
        <w:tc>
          <w:tcPr>
            <w:tcW w:w="912" w:type="dxa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读者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满意</w:t>
            </w:r>
          </w:p>
        </w:tc>
        <w:tc>
          <w:tcPr>
            <w:tcW w:w="7000" w:type="dxa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（1）读者满意度调查：在公共阅读空间内及周边区域随机发放调查表，取得有效样本；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（2）本年度读者投诉情况：经开区工委宣传文化部收到的投诉电话、邮件及微信公众号平台投诉留言等。</w:t>
            </w:r>
          </w:p>
        </w:tc>
        <w:tc>
          <w:tcPr>
            <w:tcW w:w="97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158" w:line="560" w:lineRule="exact"/>
              <w:ind w:right="125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0" w:hRule="atLeast"/>
        </w:trPr>
        <w:tc>
          <w:tcPr>
            <w:tcW w:w="87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</w:t>
            </w:r>
          </w:p>
        </w:tc>
        <w:tc>
          <w:tcPr>
            <w:tcW w:w="912" w:type="dxa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日常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监管</w:t>
            </w:r>
          </w:p>
        </w:tc>
        <w:tc>
          <w:tcPr>
            <w:tcW w:w="7000" w:type="dxa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日常不定期抽查抽检。</w:t>
            </w:r>
          </w:p>
        </w:tc>
        <w:tc>
          <w:tcPr>
            <w:tcW w:w="97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right="125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87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11</w:t>
            </w:r>
          </w:p>
        </w:tc>
        <w:tc>
          <w:tcPr>
            <w:tcW w:w="912" w:type="dxa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385" w:leftChars="50" w:hanging="280" w:hangingChars="100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加分项</w:t>
            </w:r>
          </w:p>
        </w:tc>
        <w:tc>
          <w:tcPr>
            <w:tcW w:w="7000" w:type="dxa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（1）公共阅读空间管理运营或特色工作得到业务主管部门表彰或奖励；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（2）媒体关注度高（包括报纸、电台、电视台、网络等），且有市级以上媒体报道；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77" w:line="560" w:lineRule="exact"/>
              <w:ind w:left="106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（3）开展阅读推广活动质量高、影响力大、可持续性强。</w:t>
            </w:r>
          </w:p>
        </w:tc>
        <w:tc>
          <w:tcPr>
            <w:tcW w:w="97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158" w:line="560" w:lineRule="exact"/>
              <w:ind w:right="125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</w:t>
            </w:r>
          </w:p>
        </w:tc>
      </w:tr>
    </w:tbl>
    <w:p>
      <w:pPr>
        <w:bidi w:val="0"/>
        <w:jc w:val="both"/>
        <w:rPr>
          <w:lang w:val="en-US" w:eastAsia="zh-CN"/>
        </w:rPr>
      </w:pPr>
    </w:p>
    <w:sectPr>
      <w:footerReference r:id="rId3" w:type="default"/>
      <w:pgSz w:w="11906" w:h="16838"/>
      <w:pgMar w:top="1599" w:right="1162" w:bottom="1582" w:left="1162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7519"/>
        <w:tab w:val="clear" w:pos="4153"/>
      </w:tabs>
      <w:rPr>
        <w:rFonts w:hint="eastAsia" w:eastAsia="宋体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hYzM1ODk3ZmViYTUwNDI5ZmFhMjhiYWEyN2UzZTIifQ=="/>
  </w:docVars>
  <w:rsids>
    <w:rsidRoot w:val="000364EC"/>
    <w:rsid w:val="000364EC"/>
    <w:rsid w:val="001214AF"/>
    <w:rsid w:val="002207C5"/>
    <w:rsid w:val="0029517A"/>
    <w:rsid w:val="003C5068"/>
    <w:rsid w:val="009D7750"/>
    <w:rsid w:val="00B861C6"/>
    <w:rsid w:val="00BF4E54"/>
    <w:rsid w:val="00C22E78"/>
    <w:rsid w:val="00C80E3C"/>
    <w:rsid w:val="0DB96D4F"/>
    <w:rsid w:val="197B4F88"/>
    <w:rsid w:val="2C5C1EEC"/>
    <w:rsid w:val="2E901D16"/>
    <w:rsid w:val="41FD5EFD"/>
    <w:rsid w:val="452719FB"/>
    <w:rsid w:val="549A2E4B"/>
    <w:rsid w:val="598F53BA"/>
    <w:rsid w:val="6781659D"/>
    <w:rsid w:val="68B56636"/>
    <w:rsid w:val="712A5A7A"/>
    <w:rsid w:val="7ED16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8"/>
    </w:pPr>
    <w:rPr>
      <w:rFonts w:ascii="仿宋_GB2312" w:hAnsi="仿宋_GB2312" w:eastAsia="仿宋_GB2312" w:cs="仿宋_GB2312"/>
      <w:sz w:val="32"/>
      <w:szCs w:val="32"/>
      <w:lang w:val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7">
    <w:name w:val="Table Paragraph"/>
    <w:basedOn w:val="1"/>
    <w:qFormat/>
    <w:uiPriority w:val="1"/>
    <w:rPr>
      <w:rFonts w:ascii="仿宋" w:hAnsi="仿宋" w:eastAsia="仿宋" w:cs="仿宋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854</Words>
  <Characters>878</Characters>
  <Lines>6</Lines>
  <Paragraphs>1</Paragraphs>
  <TotalTime>2</TotalTime>
  <ScaleCrop>false</ScaleCrop>
  <LinksUpToDate>false</LinksUpToDate>
  <CharactersWithSpaces>883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2021-11-19T07:52:00Z</dcterms:created>
  <dc:creator>29596</dc:creator>
  <cp:lastModifiedBy>玖朗</cp:lastModifiedBy>
  <dcterms:modified xsi:type="dcterms:W3CDTF">2023-05-04T02:54:45Z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088401CD1C37406E85956C6A876BC005_13</vt:lpwstr>
  </property>
</Properties>
</file>