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ascii="仿宋_GB2312" w:hAnsi="仿宋_GB2312" w:eastAsia="仿宋_GB2312" w:cs="仿宋_GB2312"/>
          <w:b/>
          <w:bCs/>
          <w:sz w:val="32"/>
          <w:szCs w:val="32"/>
        </w:rPr>
      </w:pPr>
      <w:bookmarkStart w:id="0" w:name="_GoBack"/>
      <w:bookmarkEnd w:id="0"/>
      <w:r>
        <w:rPr>
          <w:rFonts w:hint="eastAsia" w:ascii="黑体" w:hAnsi="黑体" w:eastAsia="黑体" w:cs="黑体"/>
          <w:color w:val="333333"/>
          <w:spacing w:val="15"/>
          <w:kern w:val="0"/>
          <w:sz w:val="32"/>
          <w:szCs w:val="32"/>
          <w:shd w:val="clear" w:color="auto" w:fill="FFFFFF"/>
        </w:rPr>
        <w:t>附件：</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2022年新落地规模奖励申报</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办事指南</w:t>
      </w:r>
    </w:p>
    <w:p>
      <w:pPr>
        <w:spacing w:line="560" w:lineRule="exact"/>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《关于贯彻新发展理念加快亦庄新城高质量发展的若干措施（4.0版）》中第</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条，</w:t>
      </w:r>
      <w:r>
        <w:rPr>
          <w:rFonts w:hint="eastAsia" w:ascii="仿宋_GB2312" w:hAnsi="仿宋_GB2312" w:eastAsia="仿宋_GB2312" w:cs="仿宋_GB2312"/>
          <w:bCs/>
          <w:color w:val="000000"/>
          <w:kern w:val="0"/>
          <w:sz w:val="32"/>
          <w:szCs w:val="32"/>
        </w:rPr>
        <w:t>支持信息传输、软件和信息技术服务业企业和科技服务业企业做强做大。对于2022年新入区注册资本金人民币5000万元以上且营收达到3亿元（含）以上的信息传输、软件和信息技术服务业企业和科技服务业企业，给予当年营业收入0.3%的资金奖励，最高不超过200万元。</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2022年新</w:t>
      </w:r>
      <w:r>
        <w:rPr>
          <w:rFonts w:hint="eastAsia" w:ascii="仿宋_GB2312" w:hAnsi="仿宋_GB2312" w:eastAsia="仿宋_GB2312" w:cs="仿宋_GB2312"/>
          <w:bCs/>
          <w:color w:val="000000"/>
          <w:kern w:val="0"/>
          <w:sz w:val="32"/>
          <w:szCs w:val="32"/>
        </w:rPr>
        <w:t>落地规模奖励</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（一）2022年新迁入或新注册（亦庄新城范围），注册资本金人民币5000万元以上且2022年营收达到3亿元（含）以上的信息传输、软件和信息技术服务业企业和科技服务业企业。</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（二）申报企业在开发区（亦庄新城）进行注册、纳税并进行统计登记。</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（三）</w:t>
      </w:r>
      <w:r>
        <w:rPr>
          <w:rFonts w:hint="eastAsia" w:ascii="仿宋_GB2312" w:hAnsi="仿宋_GB2312" w:eastAsia="仿宋_GB2312" w:cs="仿宋_GB2312"/>
          <w:bCs/>
          <w:color w:val="000000"/>
          <w:kern w:val="0"/>
          <w:sz w:val="32"/>
          <w:szCs w:val="32"/>
          <w:lang w:val="en-US" w:eastAsia="zh-CN"/>
        </w:rPr>
        <w:t>2020年1月1日至2022年12月31日</w:t>
      </w:r>
      <w:r>
        <w:rPr>
          <w:rFonts w:hint="eastAsia" w:ascii="仿宋_GB2312" w:hAnsi="仿宋_GB2312" w:eastAsia="仿宋_GB2312" w:cs="仿宋_GB2312"/>
          <w:bCs/>
          <w:color w:val="000000"/>
          <w:kern w:val="0"/>
          <w:sz w:val="32"/>
          <w:szCs w:val="32"/>
        </w:rPr>
        <w:t>在财政、</w:t>
      </w:r>
      <w:r>
        <w:rPr>
          <w:rFonts w:hint="eastAsia" w:ascii="仿宋_GB2312" w:hAnsi="仿宋_GB2312" w:eastAsia="仿宋_GB2312" w:cs="仿宋_GB2312"/>
          <w:bCs/>
          <w:color w:val="000000"/>
          <w:kern w:val="0"/>
          <w:sz w:val="32"/>
          <w:szCs w:val="32"/>
          <w:lang w:eastAsia="zh-CN"/>
        </w:rPr>
        <w:t>市场监管</w:t>
      </w:r>
      <w:r>
        <w:rPr>
          <w:rFonts w:hint="eastAsia" w:ascii="仿宋_GB2312" w:hAnsi="仿宋_GB2312" w:eastAsia="仿宋_GB2312" w:cs="仿宋_GB2312"/>
          <w:bCs/>
          <w:color w:val="000000"/>
          <w:kern w:val="0"/>
          <w:sz w:val="32"/>
          <w:szCs w:val="32"/>
        </w:rPr>
        <w:t>、税务、银行、海关等部门无严重不良记录。</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（四）列入《北京市新增产业的禁止和限制目录》禁止类和限制类范围的企业不予享受。</w:t>
      </w:r>
    </w:p>
    <w:p>
      <w:pPr>
        <w:spacing w:line="560" w:lineRule="exact"/>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一）对于2022年新迁入或新注册在亦庄新城范围，注册资本金人民币5000万元以上且营收达到3亿元（含）以上的信息传输、软件和信息技术服务业企业和科技服务业企业，给予当年营业收入0.3%的资金奖励，最高不超过200万元。</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（二）补贴金额以万元为单位，不足万元部分舍去。</w:t>
      </w:r>
    </w:p>
    <w:p>
      <w:pPr>
        <w:spacing w:line="560" w:lineRule="exact"/>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（三）单家企业享受政策奖励总额不超过该企业2022</w:t>
      </w:r>
      <w:r>
        <w:rPr>
          <w:rFonts w:ascii="仿宋_GB2312" w:hAnsi="仿宋_GB2312" w:eastAsia="仿宋_GB2312" w:cs="仿宋_GB2312"/>
          <w:bCs/>
          <w:color w:val="000000"/>
          <w:kern w:val="0"/>
          <w:sz w:val="32"/>
          <w:szCs w:val="32"/>
        </w:rPr>
        <w:t xml:space="preserve"> </w:t>
      </w:r>
      <w:r>
        <w:rPr>
          <w:rFonts w:hint="eastAsia" w:ascii="仿宋_GB2312" w:hAnsi="仿宋_GB2312" w:eastAsia="仿宋_GB2312" w:cs="仿宋_GB2312"/>
          <w:bCs/>
          <w:color w:val="000000"/>
          <w:kern w:val="0"/>
          <w:sz w:val="32"/>
          <w:szCs w:val="32"/>
        </w:rPr>
        <w:t>年区域经济贡献的50%。</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64" w:firstLineChars="200"/>
        <w:outlineLvl w:val="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spacing w:line="560" w:lineRule="exact"/>
        <w:ind w:firstLine="640" w:firstLineChars="200"/>
      </w:pPr>
      <w:r>
        <w:rPr>
          <w:rFonts w:hint="eastAsia" w:ascii="仿宋_GB2312" w:hAnsi="仿宋_GB2312" w:eastAsia="仿宋_GB2312" w:cs="仿宋_GB2312"/>
          <w:sz w:val="32"/>
          <w:szCs w:val="32"/>
        </w:rPr>
        <w:t>1.2022年新落地规模奖励专项申报表，在线填写；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2.企业营业执照，选取电子证照；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3.承诺书，下载模板填写，签字、加盖公章，彩色扫描上传；</w:t>
      </w:r>
    </w:p>
    <w:p>
      <w:pPr>
        <w:spacing w:line="560" w:lineRule="exact"/>
        <w:ind w:firstLine="640" w:firstLineChars="200"/>
        <w:rPr>
          <w:rFonts w:ascii="仿宋_GB2312" w:hAnsi="仿宋_GB2312" w:eastAsia="仿宋_GB2312" w:cs="仿宋_GB2312"/>
          <w:spacing w:val="6"/>
          <w:sz w:val="32"/>
          <w:szCs w:val="32"/>
        </w:rPr>
      </w:pPr>
      <w:r>
        <w:rPr>
          <w:rFonts w:hint="eastAsia" w:ascii="仿宋_GB2312" w:hAnsi="仿宋_GB2312" w:eastAsia="仿宋_GB2312" w:cs="仿宋_GB2312"/>
          <w:sz w:val="32"/>
          <w:szCs w:val="32"/>
        </w:rPr>
        <w:t>4.银行账户信息，下载模板填写，</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spacing w:line="560" w:lineRule="exact"/>
        <w:ind w:firstLine="664" w:firstLineChars="200"/>
        <w:rPr>
          <w:rFonts w:ascii="仿宋_GB2312" w:hAnsi="仿宋_GB2312" w:eastAsia="仿宋_GB2312" w:cs="仿宋_GB2312"/>
          <w:spacing w:val="6"/>
          <w:sz w:val="32"/>
          <w:szCs w:val="32"/>
        </w:rPr>
      </w:pPr>
      <w:r>
        <w:rPr>
          <w:rFonts w:ascii="仿宋_GB2312" w:hAnsi="仿宋_GB2312" w:eastAsia="仿宋_GB2312" w:cs="仿宋_GB2312"/>
          <w:spacing w:val="6"/>
          <w:sz w:val="32"/>
          <w:szCs w:val="32"/>
        </w:rPr>
        <w:t>5.</w:t>
      </w:r>
      <w:r>
        <w:rPr>
          <w:rFonts w:hint="eastAsia" w:ascii="仿宋_GB2312" w:hAnsi="仿宋_GB2312" w:eastAsia="仿宋_GB2312" w:cs="仿宋_GB2312"/>
          <w:spacing w:val="6"/>
          <w:sz w:val="32"/>
          <w:szCs w:val="32"/>
        </w:rPr>
        <w:t>企业</w:t>
      </w:r>
      <w:r>
        <w:rPr>
          <w:rFonts w:ascii="仿宋_GB2312" w:hAnsi="仿宋_GB2312" w:eastAsia="仿宋_GB2312" w:cs="仿宋_GB2312"/>
          <w:spacing w:val="6"/>
          <w:sz w:val="32"/>
          <w:szCs w:val="32"/>
        </w:rPr>
        <w:t>2022</w:t>
      </w:r>
      <w:r>
        <w:rPr>
          <w:rFonts w:hint="eastAsia" w:ascii="仿宋_GB2312" w:hAnsi="仿宋_GB2312" w:eastAsia="仿宋_GB2312" w:cs="仿宋_GB2312"/>
          <w:spacing w:val="6"/>
          <w:sz w:val="32"/>
          <w:szCs w:val="32"/>
        </w:rPr>
        <w:t>年度财务审计报告，</w:t>
      </w:r>
      <w:r>
        <w:rPr>
          <w:rFonts w:hint="eastAsia" w:ascii="仿宋_GB2312" w:hAnsi="仿宋_GB2312" w:eastAsia="仿宋_GB2312" w:cs="仿宋_GB2312"/>
          <w:spacing w:val="6"/>
          <w:sz w:val="32"/>
          <w:szCs w:val="32"/>
          <w:lang w:eastAsia="zh-CN"/>
        </w:rPr>
        <w:t>原件</w:t>
      </w:r>
      <w:r>
        <w:rPr>
          <w:rFonts w:hint="eastAsia" w:ascii="仿宋_GB2312" w:hAnsi="仿宋_GB2312" w:eastAsia="仿宋_GB2312" w:cs="仿宋_GB2312"/>
          <w:spacing w:val="6"/>
          <w:sz w:val="32"/>
          <w:szCs w:val="32"/>
        </w:rPr>
        <w:t>彩色扫描上传。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收到打印纸质材料短信通知后，在3个工作日内从平台下载带水印全套申报材料进行打印，一式一份有序装订（整本首页、骑缝盖章），其中银行账户信息无需装订，加盖公章，一并递交至受理窗口。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sz w:val="32"/>
          <w:szCs w:val="32"/>
        </w:rPr>
        <w:t>通过经开区官网政策兑现模块进入政策兑现综合服务平台，或使用360浏览器的极速模式登录网址：zcdx.kfqgw.beijing.gov.cn，注册登录后进行项目申报。如未在规定时间内提交申请的，视为自动放弃。</w:t>
      </w:r>
    </w:p>
    <w:p>
      <w:pPr>
        <w:pStyle w:val="8"/>
        <w:widowControl/>
        <w:numPr>
          <w:ilvl w:val="255"/>
          <w:numId w:val="0"/>
        </w:numPr>
        <w:shd w:val="clear" w:color="auto" w:fill="FFFFFF"/>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8"/>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rPr>
        <w:t>营商合作局、科技创新局</w:t>
      </w:r>
      <w:r>
        <w:rPr>
          <w:rFonts w:hint="eastAsia" w:ascii="仿宋_GB2312" w:hAnsi="仿宋_GB2312" w:eastAsia="仿宋_GB2312" w:cs="仿宋_GB2312"/>
          <w:color w:val="000000"/>
          <w:kern w:val="2"/>
          <w:sz w:val="32"/>
          <w:szCs w:val="32"/>
        </w:rPr>
        <w:t>对申请材料进行实质审核。</w:t>
      </w:r>
    </w:p>
    <w:p>
      <w:pPr>
        <w:pStyle w:val="8"/>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（四）</w:t>
      </w:r>
      <w:r>
        <w:rPr>
          <w:rFonts w:hint="eastAsia" w:ascii="仿宋_GB2312" w:hAnsi="仿宋_GB2312" w:eastAsia="仿宋_GB2312" w:cs="仿宋_GB2312"/>
          <w:b/>
          <w:bCs/>
          <w:color w:val="000000"/>
          <w:kern w:val="2"/>
          <w:sz w:val="32"/>
          <w:szCs w:val="32"/>
        </w:rPr>
        <w:t>线下受理</w:t>
      </w:r>
      <w:r>
        <w:rPr>
          <w:rFonts w:hint="eastAsia" w:ascii="仿宋_GB2312" w:hAnsi="仿宋_GB2312" w:eastAsia="仿宋_GB2312" w:cs="仿宋_GB2312"/>
          <w:color w:val="000000"/>
          <w:kern w:val="2"/>
          <w:sz w:val="32"/>
          <w:szCs w:val="32"/>
        </w:rPr>
        <w:t>：申报主体在规定期间内从平台下载带水印的申报材料进行打印，并前往政务服务中心行政服务厅“政策申报”窗口提交纸质材料，工作人员核验，与网上提交材料一致的，予以收件；不符合的，当场告知补正要求。</w:t>
      </w:r>
    </w:p>
    <w:p>
      <w:pPr>
        <w:pStyle w:val="8"/>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：经开区营商合作局、科技创新局对审核通过的申报主体拟定兑现扶持奖励金额。</w:t>
      </w:r>
    </w:p>
    <w:p>
      <w:pPr>
        <w:pStyle w:val="8"/>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（六）</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：经开区营商合作局、科技创新局通过政策兑现综合服务平台对审核通过的申报主体进行公示。</w:t>
      </w:r>
    </w:p>
    <w:p>
      <w:pPr>
        <w:pStyle w:val="8"/>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（七）</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spacing w:line="560" w:lineRule="exact"/>
        <w:ind w:firstLine="640" w:firstLineChars="200"/>
        <w:rPr>
          <w:rFonts w:eastAsia="仿宋_GB2312" w:cs="仿宋_GB2312"/>
          <w:b/>
          <w:bCs/>
          <w:sz w:val="32"/>
          <w:szCs w:val="32"/>
        </w:rPr>
      </w:pPr>
      <w:r>
        <w:rPr>
          <w:rFonts w:hint="eastAsia" w:eastAsia="仿宋_GB2312" w:cs="仿宋_GB2312"/>
          <w:sz w:val="32"/>
          <w:szCs w:val="32"/>
        </w:rPr>
        <w:t>经开区营商合作局（</w:t>
      </w:r>
      <w:r>
        <w:rPr>
          <w:rFonts w:hint="eastAsia" w:ascii="仿宋_GB2312" w:hAnsi="仿宋_GB2312" w:eastAsia="仿宋_GB2312" w:cs="仿宋_GB2312"/>
          <w:sz w:val="32"/>
          <w:szCs w:val="32"/>
        </w:rPr>
        <w:t>信息传输、软件和信息技术服务业企业</w:t>
      </w:r>
      <w:r>
        <w:rPr>
          <w:rFonts w:hint="eastAsia" w:eastAsia="仿宋_GB2312" w:cs="仿宋_GB2312"/>
          <w:sz w:val="32"/>
          <w:szCs w:val="32"/>
        </w:rPr>
        <w:t>）</w:t>
      </w:r>
      <w:r>
        <w:rPr>
          <w:rFonts w:hint="eastAsia" w:ascii="仿宋_GB2312" w:hAnsi="仿宋_GB2312" w:eastAsia="仿宋_GB2312" w:cs="仿宋_GB2312"/>
          <w:bCs/>
          <w:color w:val="000000"/>
          <w:kern w:val="0"/>
          <w:sz w:val="32"/>
          <w:szCs w:val="32"/>
        </w:rPr>
        <w:t>、经开区科技创新局（</w:t>
      </w:r>
      <w:r>
        <w:rPr>
          <w:rFonts w:hint="eastAsia" w:ascii="仿宋_GB2312" w:hAnsi="仿宋_GB2312" w:eastAsia="仿宋_GB2312" w:cs="仿宋_GB2312"/>
          <w:sz w:val="32"/>
          <w:szCs w:val="32"/>
        </w:rPr>
        <w:t>科技服务业企业</w:t>
      </w:r>
      <w:r>
        <w:rPr>
          <w:rFonts w:hint="eastAsia" w:ascii="仿宋_GB2312" w:hAnsi="仿宋_GB2312" w:eastAsia="仿宋_GB2312" w:cs="仿宋_GB2312"/>
          <w:bCs/>
          <w:color w:val="000000"/>
          <w:kern w:val="0"/>
          <w:sz w:val="32"/>
          <w:szCs w:val="32"/>
        </w:rPr>
        <w:t>）</w:t>
      </w:r>
    </w:p>
    <w:p>
      <w:pPr>
        <w:numPr>
          <w:ilvl w:val="255"/>
          <w:numId w:val="0"/>
        </w:num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 “政策申报”窗口</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日至2023年</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w:t>
      </w:r>
    </w:p>
    <w:p>
      <w:pPr>
        <w:numPr>
          <w:ilvl w:val="255"/>
          <w:numId w:val="0"/>
        </w:numPr>
        <w:spacing w:line="560" w:lineRule="exact"/>
        <w:ind w:firstLine="640" w:firstLineChars="200"/>
        <w:outlineLvl w:val="0"/>
        <w:rPr>
          <w:rFonts w:eastAsia="仿宋_GB2312"/>
          <w:sz w:val="32"/>
          <w:szCs w:val="32"/>
        </w:rPr>
      </w:pPr>
      <w:r>
        <w:rPr>
          <w:rFonts w:hint="eastAsia" w:ascii="黑体" w:hAnsi="黑体" w:eastAsia="黑体" w:cs="黑体"/>
          <w:sz w:val="32"/>
          <w:szCs w:val="32"/>
        </w:rPr>
        <w:t>十、联系人及联系方式</w:t>
      </w:r>
    </w:p>
    <w:p>
      <w:pPr>
        <w:spacing w:line="560" w:lineRule="exact"/>
        <w:ind w:firstLine="640" w:firstLineChars="200"/>
        <w:outlineLvl w:val="0"/>
        <w:rPr>
          <w:rFonts w:eastAsia="仿宋_GB2312"/>
          <w:sz w:val="32"/>
          <w:szCs w:val="32"/>
        </w:rPr>
      </w:pPr>
      <w:r>
        <w:rPr>
          <w:rFonts w:hint="eastAsia" w:eastAsia="仿宋_GB2312"/>
          <w:sz w:val="32"/>
          <w:szCs w:val="32"/>
        </w:rPr>
        <w:t>政策咨询：</w:t>
      </w:r>
    </w:p>
    <w:p>
      <w:pPr>
        <w:spacing w:line="560" w:lineRule="exact"/>
        <w:ind w:firstLine="640" w:firstLineChars="200"/>
        <w:outlineLvl w:val="0"/>
        <w:rPr>
          <w:rFonts w:ascii="仿宋_GB2312" w:hAnsi="仿宋_GB2312" w:eastAsia="仿宋_GB2312" w:cs="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:00，下午1</w:t>
      </w:r>
      <w:r>
        <w:rPr>
          <w:rFonts w:ascii="仿宋_GB2312" w:hAnsi="仿宋_GB2312" w:eastAsia="仿宋_GB2312" w:cs="仿宋_GB2312"/>
          <w:sz w:val="32"/>
          <w:szCs w:val="32"/>
        </w:rPr>
        <w:t>:30-5:00</w:t>
      </w:r>
      <w:r>
        <w:rPr>
          <w:rFonts w:hint="eastAsia" w:ascii="仿宋_GB2312" w:hAnsi="仿宋_GB2312" w:eastAsia="仿宋_GB2312" w:cs="仿宋_GB2312"/>
          <w:sz w:val="32"/>
          <w:szCs w:val="32"/>
        </w:rPr>
        <w:t>。</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经开区营商合作局，联系电话：010-67881585，010-67870195，工作日上午9:</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0，下午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p>
    <w:p>
      <w:pPr>
        <w:spacing w:line="560" w:lineRule="exact"/>
        <w:ind w:firstLine="640" w:firstLineChars="200"/>
        <w:outlineLvl w:val="0"/>
        <w:rPr>
          <w:rFonts w:ascii="仿宋_GB2312" w:hAnsi="仿宋_GB2312" w:eastAsia="仿宋_GB2312" w:cs="仿宋_GB2312"/>
          <w:sz w:val="32"/>
          <w:szCs w:val="32"/>
        </w:rPr>
      </w:pPr>
      <w:r>
        <w:rPr>
          <w:rFonts w:hint="eastAsia" w:ascii="仿宋_GB2312" w:hAnsi="仿宋_GB2312" w:eastAsia="仿宋_GB2312" w:cs="仿宋_GB2312"/>
          <w:sz w:val="32"/>
          <w:szCs w:val="32"/>
        </w:rPr>
        <w:t>经开区科技创新局，联系电话：010-67887557，工作日上午9:</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0，下午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p>
    <w:p>
      <w:pPr>
        <w:spacing w:line="560" w:lineRule="exact"/>
        <w:ind w:firstLine="640" w:firstLineChars="200"/>
        <w:outlineLvl w:val="0"/>
        <w:rPr>
          <w:rFonts w:eastAsia="仿宋_GB2312"/>
          <w:sz w:val="32"/>
          <w:szCs w:val="32"/>
        </w:rPr>
      </w:pPr>
      <w:r>
        <w:rPr>
          <w:rFonts w:hint="eastAsia" w:eastAsia="仿宋_GB2312"/>
          <w:sz w:val="32"/>
          <w:szCs w:val="32"/>
        </w:rPr>
        <w:t>技术支持：</w:t>
      </w:r>
    </w:p>
    <w:p>
      <w:pPr>
        <w:spacing w:line="560" w:lineRule="exact"/>
        <w:ind w:firstLine="640" w:firstLineChars="200"/>
        <w:outlineLvl w:val="0"/>
        <w:rPr>
          <w:rFonts w:ascii="仿宋_GB2312" w:hAnsi="仿宋_GB2312" w:eastAsia="仿宋_GB2312" w:cs="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：010-67857638，工作日上午9:</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0，下午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w:t>
      </w:r>
    </w:p>
    <w:p>
      <w:pPr>
        <w:spacing w:line="560" w:lineRule="exact"/>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spacing w:line="56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国家、北京市、经开区出台相关支持政策或已执行经开区入区协议相关政策的，从高不重复享受。</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3EF9D4D-1CAA-4197-B09C-2B54B9950E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A9650E57-C5FB-4CB3-BE93-DCBA98474C06}"/>
  </w:font>
  <w:font w:name="方正小标宋简体">
    <w:panose1 w:val="02000000000000000000"/>
    <w:charset w:val="86"/>
    <w:family w:val="script"/>
    <w:pitch w:val="default"/>
    <w:sig w:usb0="00000001" w:usb1="08000000" w:usb2="00000000" w:usb3="00000000" w:csb0="00040000" w:csb1="00000000"/>
    <w:embedRegular r:id="rId3" w:fontKey="{2DE20DFA-CBA4-419F-95D9-2E5A3B2F74B1}"/>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0EF1"/>
    <w:rsid w:val="0001192B"/>
    <w:rsid w:val="00060052"/>
    <w:rsid w:val="00062C5F"/>
    <w:rsid w:val="000B69E2"/>
    <w:rsid w:val="000F62F2"/>
    <w:rsid w:val="001145E7"/>
    <w:rsid w:val="00124886"/>
    <w:rsid w:val="00161422"/>
    <w:rsid w:val="00161CCE"/>
    <w:rsid w:val="00201857"/>
    <w:rsid w:val="00204B4E"/>
    <w:rsid w:val="002838D9"/>
    <w:rsid w:val="002B51B7"/>
    <w:rsid w:val="002D4178"/>
    <w:rsid w:val="00360EF1"/>
    <w:rsid w:val="00383945"/>
    <w:rsid w:val="00395968"/>
    <w:rsid w:val="00437F78"/>
    <w:rsid w:val="00457B4D"/>
    <w:rsid w:val="004E1136"/>
    <w:rsid w:val="004F376A"/>
    <w:rsid w:val="00530096"/>
    <w:rsid w:val="005614B7"/>
    <w:rsid w:val="00593967"/>
    <w:rsid w:val="005F36D1"/>
    <w:rsid w:val="006379AC"/>
    <w:rsid w:val="00671758"/>
    <w:rsid w:val="006A1513"/>
    <w:rsid w:val="006D0140"/>
    <w:rsid w:val="00710378"/>
    <w:rsid w:val="00737AAC"/>
    <w:rsid w:val="0083658A"/>
    <w:rsid w:val="00837373"/>
    <w:rsid w:val="00844BDB"/>
    <w:rsid w:val="00865BAA"/>
    <w:rsid w:val="00884317"/>
    <w:rsid w:val="008B67D9"/>
    <w:rsid w:val="00900A14"/>
    <w:rsid w:val="00913CB6"/>
    <w:rsid w:val="00923A77"/>
    <w:rsid w:val="00934B0D"/>
    <w:rsid w:val="009406A9"/>
    <w:rsid w:val="0098077A"/>
    <w:rsid w:val="00A3406B"/>
    <w:rsid w:val="00AF7663"/>
    <w:rsid w:val="00B665AA"/>
    <w:rsid w:val="00B74D80"/>
    <w:rsid w:val="00BF7141"/>
    <w:rsid w:val="00C0166B"/>
    <w:rsid w:val="00C122AB"/>
    <w:rsid w:val="00C52CC8"/>
    <w:rsid w:val="00CB2E77"/>
    <w:rsid w:val="00D0799F"/>
    <w:rsid w:val="00D16A0F"/>
    <w:rsid w:val="00D455F1"/>
    <w:rsid w:val="00D460B2"/>
    <w:rsid w:val="00D574EE"/>
    <w:rsid w:val="00D668C9"/>
    <w:rsid w:val="00D76185"/>
    <w:rsid w:val="00D85A9F"/>
    <w:rsid w:val="00DF58FE"/>
    <w:rsid w:val="00E96FFC"/>
    <w:rsid w:val="00EA0355"/>
    <w:rsid w:val="00EA199B"/>
    <w:rsid w:val="00F35535"/>
    <w:rsid w:val="00FA7C87"/>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353C9"/>
    <w:rsid w:val="03FA3EE0"/>
    <w:rsid w:val="04080ECA"/>
    <w:rsid w:val="04481432"/>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D44C62"/>
    <w:rsid w:val="093955CA"/>
    <w:rsid w:val="09677F84"/>
    <w:rsid w:val="09FF2B6A"/>
    <w:rsid w:val="0A12715A"/>
    <w:rsid w:val="0A192B78"/>
    <w:rsid w:val="0A7A09DE"/>
    <w:rsid w:val="0A7A6E57"/>
    <w:rsid w:val="0AD40459"/>
    <w:rsid w:val="0AEF1F7A"/>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86C1D"/>
    <w:rsid w:val="0F131376"/>
    <w:rsid w:val="0F193762"/>
    <w:rsid w:val="0F221A0E"/>
    <w:rsid w:val="0F8C27FB"/>
    <w:rsid w:val="0F934289"/>
    <w:rsid w:val="0FA61C25"/>
    <w:rsid w:val="0FF757D0"/>
    <w:rsid w:val="101D1DF8"/>
    <w:rsid w:val="10452D67"/>
    <w:rsid w:val="106018C4"/>
    <w:rsid w:val="10653491"/>
    <w:rsid w:val="10706EEF"/>
    <w:rsid w:val="1092296C"/>
    <w:rsid w:val="10A01313"/>
    <w:rsid w:val="10C13CF3"/>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056E33"/>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DFB5CE8"/>
    <w:rsid w:val="1E3278A5"/>
    <w:rsid w:val="1E447CA3"/>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B25697"/>
    <w:rsid w:val="2ACF7AB8"/>
    <w:rsid w:val="2B035A09"/>
    <w:rsid w:val="2B2024A7"/>
    <w:rsid w:val="2B3E4B68"/>
    <w:rsid w:val="2B833D12"/>
    <w:rsid w:val="2B9B0A58"/>
    <w:rsid w:val="2BA7027E"/>
    <w:rsid w:val="2BAB54C5"/>
    <w:rsid w:val="2BC05AF8"/>
    <w:rsid w:val="2BE54D11"/>
    <w:rsid w:val="2C522435"/>
    <w:rsid w:val="2D2A602F"/>
    <w:rsid w:val="2D6B0ED7"/>
    <w:rsid w:val="2D715293"/>
    <w:rsid w:val="2D7649D6"/>
    <w:rsid w:val="2DA064BD"/>
    <w:rsid w:val="2E236E07"/>
    <w:rsid w:val="2E2B3CCA"/>
    <w:rsid w:val="2E491136"/>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54444E"/>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C56229"/>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E2B5D5D"/>
    <w:rsid w:val="4E8B3508"/>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7A3E3F"/>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6F0068D"/>
    <w:rsid w:val="57072CB9"/>
    <w:rsid w:val="57513E95"/>
    <w:rsid w:val="575E2A63"/>
    <w:rsid w:val="57672FF6"/>
    <w:rsid w:val="576C2AED"/>
    <w:rsid w:val="578A3D39"/>
    <w:rsid w:val="579A20B9"/>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F3F6EB7"/>
    <w:rsid w:val="5F595787"/>
    <w:rsid w:val="5F8D1C46"/>
    <w:rsid w:val="5FBD03D0"/>
    <w:rsid w:val="5FE50B69"/>
    <w:rsid w:val="5FEA1F4F"/>
    <w:rsid w:val="5FFFC0D3"/>
    <w:rsid w:val="601B4866"/>
    <w:rsid w:val="60303D05"/>
    <w:rsid w:val="60386110"/>
    <w:rsid w:val="606977B6"/>
    <w:rsid w:val="60B75222"/>
    <w:rsid w:val="610966E3"/>
    <w:rsid w:val="61A06ED8"/>
    <w:rsid w:val="61CC6283"/>
    <w:rsid w:val="61EB1FBB"/>
    <w:rsid w:val="620458E9"/>
    <w:rsid w:val="624422CE"/>
    <w:rsid w:val="62812C52"/>
    <w:rsid w:val="62876C58"/>
    <w:rsid w:val="6298596F"/>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F973CE"/>
    <w:rsid w:val="6808097F"/>
    <w:rsid w:val="686076FC"/>
    <w:rsid w:val="68E479A1"/>
    <w:rsid w:val="6A7C3B1B"/>
    <w:rsid w:val="6A9153AF"/>
    <w:rsid w:val="6A9A5399"/>
    <w:rsid w:val="6B3F3AAD"/>
    <w:rsid w:val="6B878FDB"/>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35ABC"/>
    <w:rsid w:val="6D5B79BC"/>
    <w:rsid w:val="6DCF4058"/>
    <w:rsid w:val="6DE9238A"/>
    <w:rsid w:val="6E2B147B"/>
    <w:rsid w:val="6E33263A"/>
    <w:rsid w:val="6E3A4154"/>
    <w:rsid w:val="6E893371"/>
    <w:rsid w:val="6E8C71B7"/>
    <w:rsid w:val="6EA731B5"/>
    <w:rsid w:val="6EB6086C"/>
    <w:rsid w:val="6EC648DD"/>
    <w:rsid w:val="6F0C63B7"/>
    <w:rsid w:val="6F345206"/>
    <w:rsid w:val="6F941165"/>
    <w:rsid w:val="6FBC2D32"/>
    <w:rsid w:val="70007B47"/>
    <w:rsid w:val="702F1D23"/>
    <w:rsid w:val="705342C1"/>
    <w:rsid w:val="708D3892"/>
    <w:rsid w:val="70B75CF8"/>
    <w:rsid w:val="70C079DE"/>
    <w:rsid w:val="712573D2"/>
    <w:rsid w:val="7155010D"/>
    <w:rsid w:val="715C4E8A"/>
    <w:rsid w:val="717F152D"/>
    <w:rsid w:val="71D07EE4"/>
    <w:rsid w:val="720F3D8F"/>
    <w:rsid w:val="72A75458"/>
    <w:rsid w:val="72D92721"/>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7FDF747"/>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FC4CA2"/>
    <w:rsid w:val="7E137B54"/>
    <w:rsid w:val="7E3B5BC7"/>
    <w:rsid w:val="7E4E0E62"/>
    <w:rsid w:val="7E503B32"/>
    <w:rsid w:val="7E6B7B24"/>
    <w:rsid w:val="7E757D8F"/>
    <w:rsid w:val="7E782A8A"/>
    <w:rsid w:val="7EFFFA7B"/>
    <w:rsid w:val="7FC14E2C"/>
    <w:rsid w:val="893E970E"/>
    <w:rsid w:val="9F6F6015"/>
    <w:rsid w:val="C7DB93C8"/>
    <w:rsid w:val="DD7E7DC7"/>
    <w:rsid w:val="DEF5E07B"/>
    <w:rsid w:val="EFD3AB88"/>
    <w:rsid w:val="EFEEB9E2"/>
    <w:rsid w:val="F5DBA8FA"/>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Body Text Indent"/>
    <w:basedOn w:val="1"/>
    <w:qFormat/>
    <w:uiPriority w:val="0"/>
    <w:pPr>
      <w:ind w:left="420" w:leftChars="200"/>
    </w:pPr>
  </w:style>
  <w:style w:type="paragraph" w:styleId="5">
    <w:name w:val="Balloon Text"/>
    <w:basedOn w:val="1"/>
    <w:link w:val="16"/>
    <w:qFormat/>
    <w:uiPriority w:val="0"/>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Body Text First Indent 2"/>
    <w:basedOn w:val="4"/>
    <w:qFormat/>
    <w:uiPriority w:val="0"/>
    <w:pPr>
      <w:ind w:firstLine="420"/>
    </w:pPr>
  </w:style>
  <w:style w:type="character" w:styleId="12">
    <w:name w:val="Hyperlink"/>
    <w:basedOn w:val="11"/>
    <w:qFormat/>
    <w:uiPriority w:val="0"/>
    <w:rPr>
      <w:color w:val="0000FF"/>
      <w:u w:val="single"/>
    </w:rPr>
  </w:style>
  <w:style w:type="character" w:customStyle="1" w:styleId="13">
    <w:name w:val="页眉 Char"/>
    <w:basedOn w:val="11"/>
    <w:link w:val="7"/>
    <w:qFormat/>
    <w:uiPriority w:val="0"/>
    <w:rPr>
      <w:kern w:val="2"/>
      <w:sz w:val="18"/>
      <w:szCs w:val="18"/>
    </w:rPr>
  </w:style>
  <w:style w:type="character" w:customStyle="1" w:styleId="14">
    <w:name w:val="页脚 Char"/>
    <w:basedOn w:val="11"/>
    <w:link w:val="6"/>
    <w:qFormat/>
    <w:uiPriority w:val="0"/>
    <w:rPr>
      <w:kern w:val="2"/>
      <w:sz w:val="18"/>
      <w:szCs w:val="18"/>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6">
    <w:name w:val="批注框文本 Char"/>
    <w:basedOn w:val="11"/>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1504</Words>
  <Characters>1737</Characters>
  <Lines>13</Lines>
  <Paragraphs>3</Paragraphs>
  <TotalTime>15</TotalTime>
  <ScaleCrop>false</ScaleCrop>
  <LinksUpToDate>false</LinksUpToDate>
  <CharactersWithSpaces>1739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2023-02-16T18:07:00Z</dcterms:created>
  <dc:creator>zkk</dc:creator>
  <cp:lastModifiedBy>玖朗</cp:lastModifiedBy>
  <cp:lastPrinted>2023-04-13T04:07:00Z</cp:lastPrinted>
  <dcterms:modified xsi:type="dcterms:W3CDTF">2023-05-04T03:05:22Z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327ABFA20D4D430B892F5CE495D5B640_13</vt:lpwstr>
  </property>
</Properties>
</file>