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widowControl/>
        <w:snapToGrid w:val="0"/>
        <w:spacing w:line="560" w:lineRule="exact"/>
        <w:jc w:val="center"/>
        <w:rPr>
          <w:rFonts w:hint="default" w:ascii="方正小标宋简体" w:hAnsi="宋体" w:eastAsia="方正小标宋简体" w:cs="宋体"/>
          <w:sz w:val="44"/>
          <w:szCs w:val="44"/>
        </w:rPr>
      </w:pPr>
      <w:bookmarkStart w:id="1" w:name="_GoBack"/>
      <w:bookmarkEnd w:id="1"/>
    </w:p>
    <w:p>
      <w:pPr>
        <w:pStyle w:val="3"/>
        <w:widowControl/>
        <w:snapToGrid w:val="0"/>
        <w:spacing w:line="560" w:lineRule="exact"/>
        <w:jc w:val="center"/>
        <w:rPr>
          <w:rFonts w:hint="default" w:ascii="方正小标宋简体" w:hAnsi="宋体" w:eastAsia="方正小标宋简体" w:cs="宋体"/>
          <w:sz w:val="44"/>
          <w:szCs w:val="44"/>
        </w:rPr>
      </w:pPr>
      <w:r>
        <w:rPr>
          <w:rFonts w:ascii="方正小标宋简体" w:hAnsi="宋体" w:eastAsia="方正小标宋简体" w:cs="宋体"/>
          <w:sz w:val="44"/>
          <w:szCs w:val="44"/>
        </w:rPr>
        <w:t>北京市小型微型企业创业创新示范基地</w:t>
      </w:r>
    </w:p>
    <w:p>
      <w:pPr>
        <w:pStyle w:val="3"/>
        <w:widowControl/>
        <w:snapToGrid w:val="0"/>
        <w:spacing w:line="560" w:lineRule="exact"/>
        <w:jc w:val="center"/>
        <w:rPr>
          <w:rFonts w:hint="default" w:ascii="方正小标宋_GBK" w:hAnsi="宋体" w:eastAsia="方正小标宋_GBK" w:cs="宋体"/>
          <w:sz w:val="44"/>
          <w:szCs w:val="44"/>
        </w:rPr>
      </w:pPr>
      <w:r>
        <w:rPr>
          <w:rFonts w:ascii="方正小标宋简体" w:hAnsi="宋体" w:eastAsia="方正小标宋简体" w:cs="宋体"/>
          <w:sz w:val="44"/>
          <w:szCs w:val="44"/>
        </w:rPr>
        <w:t>管理办法</w:t>
      </w:r>
    </w:p>
    <w:p>
      <w:pPr>
        <w:pStyle w:val="3"/>
        <w:widowControl/>
        <w:snapToGrid w:val="0"/>
        <w:spacing w:line="560" w:lineRule="exact"/>
        <w:jc w:val="center"/>
        <w:rPr>
          <w:rFonts w:hint="default" w:ascii="楷体_GB2312" w:hAnsi="楷体_GB2312" w:eastAsia="楷体_GB2312" w:cs="楷体_GB2312"/>
          <w:sz w:val="32"/>
          <w:szCs w:val="32"/>
        </w:rPr>
      </w:pPr>
    </w:p>
    <w:p>
      <w:pPr>
        <w:pStyle w:val="3"/>
        <w:widowControl/>
        <w:snapToGrid w:val="0"/>
        <w:spacing w:line="560" w:lineRule="exact"/>
        <w:jc w:val="center"/>
        <w:outlineLvl w:val="0"/>
        <w:rPr>
          <w:rFonts w:hint="default" w:ascii="黑体" w:hAnsi="宋体" w:eastAsia="黑体" w:cs="宋体"/>
          <w:sz w:val="32"/>
          <w:szCs w:val="32"/>
        </w:rPr>
      </w:pPr>
      <w:r>
        <w:rPr>
          <w:rFonts w:ascii="黑体" w:hAnsi="宋体" w:eastAsia="黑体" w:cs="宋体"/>
          <w:sz w:val="32"/>
          <w:szCs w:val="32"/>
        </w:rPr>
        <w:t>第一章 总　则</w:t>
      </w:r>
    </w:p>
    <w:p>
      <w:pPr>
        <w:pStyle w:val="3"/>
        <w:widowControl/>
        <w:snapToGrid w:val="0"/>
        <w:spacing w:line="560" w:lineRule="exact"/>
        <w:ind w:firstLine="640" w:firstLineChars="200"/>
        <w:outlineLvl w:val="1"/>
        <w:rPr>
          <w:rFonts w:hint="default" w:ascii="仿宋_GB2312" w:hAnsi="宋体" w:eastAsia="仿宋_GB2312" w:cs="宋体"/>
          <w:sz w:val="32"/>
          <w:szCs w:val="32"/>
        </w:rPr>
      </w:pPr>
      <w:r>
        <w:rPr>
          <w:rFonts w:ascii="仿宋_GB2312" w:hAnsi="宋体" w:eastAsia="仿宋_GB2312" w:cs="宋体"/>
          <w:sz w:val="32"/>
          <w:szCs w:val="32"/>
        </w:rPr>
        <w:t>第一条 为落实《北京市促进中小企业发展条例》要求，加快推进中小企业公共服务体系建设，培育一批布局合理、特色鲜明、管理规范、带动效应突出的小微企业创业创新示范基地，促进我市中小企业高质量发展，根据有关文件规定，制定本办法。</w:t>
      </w:r>
    </w:p>
    <w:p>
      <w:pPr>
        <w:pStyle w:val="3"/>
        <w:widowControl/>
        <w:snapToGrid w:val="0"/>
        <w:spacing w:line="560" w:lineRule="exact"/>
        <w:ind w:firstLine="640" w:firstLineChars="200"/>
        <w:outlineLvl w:val="1"/>
        <w:rPr>
          <w:rFonts w:hint="default" w:ascii="仿宋_GB2312" w:hAnsi="宋体" w:eastAsia="仿宋_GB2312" w:cs="宋体"/>
          <w:sz w:val="32"/>
          <w:szCs w:val="32"/>
        </w:rPr>
      </w:pPr>
      <w:r>
        <w:rPr>
          <w:rFonts w:ascii="仿宋_GB2312" w:hAnsi="宋体" w:eastAsia="仿宋_GB2312" w:cs="宋体"/>
          <w:sz w:val="32"/>
          <w:szCs w:val="32"/>
        </w:rPr>
        <w:t>第二条 北京市小型微型企业创业创新示范基地（以下简称</w:t>
      </w:r>
      <w:r>
        <w:rPr>
          <w:rFonts w:ascii="仿宋_GB2312" w:hAnsi="宋体" w:eastAsia="仿宋_GB2312" w:cs="宋体"/>
          <w:kern w:val="0"/>
          <w:sz w:val="32"/>
          <w:szCs w:val="32"/>
        </w:rPr>
        <w:t>“示范基地”）</w:t>
      </w:r>
      <w:r>
        <w:rPr>
          <w:rFonts w:ascii="仿宋_GB2312" w:hAnsi="宋体" w:eastAsia="仿宋_GB2312" w:cs="宋体"/>
          <w:sz w:val="32"/>
          <w:szCs w:val="32"/>
        </w:rPr>
        <w:t>是指经北京市经济和信息化局(以下简称“市经济和信息化局”）认定，由具备独立法人资格的企业运营管理，集聚创业创新服务资源，为小微企业提供空间场所和支撑服务的载体。示范基地应具有产业领域聚焦、商业模式清晰、基础设施完善、配套服务专业、服务业绩良好、示范带动作用强等特点。　　</w:t>
      </w:r>
    </w:p>
    <w:p>
      <w:pPr>
        <w:pStyle w:val="3"/>
        <w:widowControl/>
        <w:snapToGrid w:val="0"/>
        <w:spacing w:line="560" w:lineRule="exact"/>
        <w:ind w:firstLine="660"/>
        <w:outlineLvl w:val="1"/>
        <w:rPr>
          <w:rFonts w:hint="default" w:ascii="仿宋_GB2312" w:hAnsi="宋体" w:eastAsia="仿宋_GB2312" w:cs="宋体"/>
          <w:sz w:val="32"/>
          <w:szCs w:val="32"/>
        </w:rPr>
      </w:pPr>
      <w:r>
        <w:rPr>
          <w:rFonts w:ascii="仿宋_GB2312" w:hAnsi="宋体" w:eastAsia="仿宋_GB2312" w:cs="宋体"/>
          <w:sz w:val="32"/>
          <w:szCs w:val="32"/>
        </w:rPr>
        <w:t>第三条 本市符合条件的科技企业孵化器、硬科技孵化器、留学人员创业园、</w:t>
      </w:r>
      <w:r>
        <w:rPr>
          <w:rFonts w:ascii="仿宋_GB2312" w:hAnsi="仿宋" w:eastAsia="仿宋_GB2312" w:cs="仿宋_GB2312"/>
          <w:sz w:val="32"/>
          <w:szCs w:val="32"/>
        </w:rPr>
        <w:t>大学生创业园、</w:t>
      </w:r>
      <w:r>
        <w:rPr>
          <w:rFonts w:ascii="仿宋_GB2312" w:hAnsi="宋体" w:eastAsia="仿宋_GB2312" w:cs="宋体"/>
          <w:sz w:val="32"/>
          <w:szCs w:val="32"/>
        </w:rPr>
        <w:t>大学科技园，产业聚集区、</w:t>
      </w:r>
      <w:r>
        <w:rPr>
          <w:rFonts w:ascii="仿宋_GB2312" w:hAnsi="仿宋" w:eastAsia="仿宋_GB2312" w:cs="仿宋_GB2312"/>
          <w:sz w:val="32"/>
          <w:szCs w:val="32"/>
        </w:rPr>
        <w:t>中关村示范园区内面向小微企业和创业者的聚集区，</w:t>
      </w:r>
      <w:r>
        <w:rPr>
          <w:rFonts w:ascii="仿宋_GB2312" w:hAnsi="宋体" w:eastAsia="仿宋_GB2312" w:cs="宋体"/>
          <w:sz w:val="32"/>
          <w:szCs w:val="32"/>
        </w:rPr>
        <w:t>行业龙头企业设立的面向小微企业和创业者的创业创新空间等载体均可申报。</w:t>
      </w:r>
    </w:p>
    <w:p>
      <w:pPr>
        <w:pStyle w:val="3"/>
        <w:widowControl/>
        <w:snapToGrid w:val="0"/>
        <w:spacing w:line="560" w:lineRule="exact"/>
        <w:ind w:firstLine="660"/>
        <w:outlineLvl w:val="1"/>
        <w:rPr>
          <w:rFonts w:hint="default" w:ascii="仿宋_GB2312" w:hAnsi="宋体" w:eastAsia="仿宋_GB2312" w:cs="宋体"/>
          <w:sz w:val="32"/>
          <w:szCs w:val="32"/>
        </w:rPr>
      </w:pPr>
      <w:r>
        <w:rPr>
          <w:rFonts w:ascii="仿宋_GB2312" w:hAnsi="宋体" w:eastAsia="仿宋_GB2312" w:cs="宋体"/>
          <w:sz w:val="32"/>
          <w:szCs w:val="32"/>
        </w:rPr>
        <w:t>第四条 市经济和信息化局负责示范基地的认定、管理和绩效评价工作。</w:t>
      </w:r>
    </w:p>
    <w:p>
      <w:pPr>
        <w:pStyle w:val="3"/>
        <w:widowControl/>
        <w:snapToGrid w:val="0"/>
        <w:spacing w:line="560" w:lineRule="exact"/>
        <w:ind w:firstLine="660"/>
        <w:outlineLvl w:val="1"/>
        <w:rPr>
          <w:rFonts w:hint="default" w:ascii="仿宋_GB2312" w:hAnsi="宋体" w:eastAsia="仿宋_GB2312" w:cs="宋体"/>
          <w:sz w:val="32"/>
          <w:szCs w:val="32"/>
        </w:rPr>
      </w:pPr>
      <w:r>
        <w:rPr>
          <w:rFonts w:ascii="仿宋_GB2312" w:hAnsi="宋体" w:eastAsia="仿宋_GB2312" w:cs="宋体"/>
          <w:sz w:val="32"/>
          <w:szCs w:val="32"/>
        </w:rPr>
        <w:t>第五条 示范基地的申报认定和绩效评价工作遵循公平、公开、公正的原则，原则上每年进行一次。</w:t>
      </w:r>
    </w:p>
    <w:p>
      <w:pPr>
        <w:pStyle w:val="3"/>
        <w:widowControl/>
        <w:snapToGrid w:val="0"/>
        <w:spacing w:line="560" w:lineRule="exact"/>
        <w:jc w:val="center"/>
        <w:outlineLvl w:val="0"/>
        <w:rPr>
          <w:rFonts w:hint="default" w:ascii="黑体" w:hAnsi="宋体" w:eastAsia="黑体" w:cs="宋体"/>
          <w:sz w:val="32"/>
          <w:szCs w:val="32"/>
        </w:rPr>
      </w:pPr>
    </w:p>
    <w:p>
      <w:pPr>
        <w:pStyle w:val="3"/>
        <w:widowControl/>
        <w:snapToGrid w:val="0"/>
        <w:spacing w:line="560" w:lineRule="exact"/>
        <w:jc w:val="center"/>
        <w:outlineLvl w:val="0"/>
        <w:rPr>
          <w:rFonts w:hint="default" w:ascii="黑体" w:hAnsi="宋体" w:eastAsia="黑体" w:cs="宋体"/>
          <w:sz w:val="32"/>
          <w:szCs w:val="32"/>
        </w:rPr>
      </w:pPr>
      <w:r>
        <w:rPr>
          <w:rFonts w:ascii="黑体" w:hAnsi="宋体" w:eastAsia="黑体" w:cs="宋体"/>
          <w:sz w:val="32"/>
          <w:szCs w:val="32"/>
        </w:rPr>
        <w:t>第二章 申报条件</w:t>
      </w:r>
    </w:p>
    <w:p>
      <w:pPr>
        <w:pStyle w:val="3"/>
        <w:widowControl/>
        <w:snapToGrid w:val="0"/>
        <w:spacing w:line="560" w:lineRule="exact"/>
        <w:ind w:firstLine="640" w:firstLineChars="200"/>
        <w:outlineLvl w:val="1"/>
        <w:rPr>
          <w:rFonts w:hint="default" w:ascii="仿宋_GB2312" w:hAnsi="宋体" w:eastAsia="仿宋_GB2312" w:cs="宋体"/>
          <w:sz w:val="32"/>
          <w:szCs w:val="32"/>
        </w:rPr>
      </w:pPr>
      <w:r>
        <w:rPr>
          <w:rFonts w:ascii="仿宋_GB2312" w:hAnsi="宋体" w:eastAsia="仿宋_GB2312" w:cs="宋体"/>
          <w:sz w:val="32"/>
          <w:szCs w:val="32"/>
        </w:rPr>
        <w:t>第六条 示范基地必须同时具备以下基本条件：</w:t>
      </w:r>
    </w:p>
    <w:p>
      <w:pPr>
        <w:pStyle w:val="3"/>
        <w:widowControl/>
        <w:snapToGrid w:val="0"/>
        <w:spacing w:line="560" w:lineRule="exact"/>
        <w:ind w:firstLine="640" w:firstLineChars="200"/>
        <w:rPr>
          <w:rFonts w:hint="default" w:ascii="仿宋_GB2312" w:hAnsi="宋体" w:eastAsia="仿宋_GB2312" w:cs="宋体"/>
          <w:sz w:val="32"/>
          <w:szCs w:val="32"/>
        </w:rPr>
      </w:pPr>
      <w:r>
        <w:rPr>
          <w:rFonts w:ascii="仿宋_GB2312" w:hAnsi="宋体" w:eastAsia="仿宋_GB2312" w:cs="宋体"/>
          <w:sz w:val="32"/>
          <w:szCs w:val="32"/>
        </w:rPr>
        <w:t>（一）一般应具有独立法人资格，且注册地在本市，成立时间两年以上，具有滚动孵化小型、微型企业成长的功能。</w:t>
      </w:r>
    </w:p>
    <w:p>
      <w:pPr>
        <w:pStyle w:val="3"/>
        <w:widowControl/>
        <w:snapToGrid w:val="0"/>
        <w:spacing w:line="540" w:lineRule="exact"/>
        <w:ind w:firstLine="640" w:firstLineChars="200"/>
        <w:rPr>
          <w:rFonts w:hint="default" w:ascii="仿宋_GB2312" w:hAnsi="宋体" w:eastAsia="仿宋_GB2312" w:cs="宋体"/>
          <w:sz w:val="32"/>
          <w:szCs w:val="32"/>
        </w:rPr>
      </w:pPr>
      <w:r>
        <w:rPr>
          <w:rFonts w:ascii="仿宋_GB2312" w:hAnsi="宋体" w:eastAsia="仿宋_GB2312" w:cs="宋体"/>
          <w:sz w:val="32"/>
          <w:szCs w:val="32"/>
        </w:rPr>
        <w:t>（二）经营状况良好，管理规范。单位或法定代表人诚信守法，</w:t>
      </w:r>
      <w:r>
        <w:rPr>
          <w:rFonts w:hint="default" w:ascii="仿宋_GB2312" w:hAnsi="宋体" w:eastAsia="仿宋_GB2312" w:cs="宋体"/>
          <w:sz w:val="32"/>
          <w:szCs w:val="32"/>
        </w:rPr>
        <w:t>在申请受理截止日期前</w:t>
      </w:r>
      <w:r>
        <w:rPr>
          <w:rFonts w:ascii="仿宋_GB2312" w:hAnsi="宋体" w:eastAsia="仿宋_GB2312" w:cs="宋体"/>
          <w:sz w:val="32"/>
          <w:szCs w:val="32"/>
        </w:rPr>
        <w:t>两年</w:t>
      </w:r>
      <w:r>
        <w:rPr>
          <w:rFonts w:hint="default" w:ascii="仿宋_GB2312" w:hAnsi="宋体" w:eastAsia="仿宋_GB2312" w:cs="宋体"/>
          <w:sz w:val="32"/>
          <w:szCs w:val="32"/>
        </w:rPr>
        <w:t>内，</w:t>
      </w:r>
      <w:r>
        <w:rPr>
          <w:rFonts w:ascii="仿宋_GB2312" w:hAnsi="宋体" w:eastAsia="仿宋_GB2312" w:cs="宋体"/>
          <w:sz w:val="32"/>
          <w:szCs w:val="32"/>
        </w:rPr>
        <w:t>未受到</w:t>
      </w:r>
      <w:r>
        <w:rPr>
          <w:rFonts w:hint="default" w:ascii="仿宋_GB2312" w:hAnsi="宋体" w:eastAsia="仿宋_GB2312" w:cs="宋体"/>
          <w:sz w:val="32"/>
          <w:szCs w:val="32"/>
        </w:rPr>
        <w:t>刑事</w:t>
      </w:r>
      <w:r>
        <w:rPr>
          <w:rFonts w:ascii="仿宋_GB2312" w:hAnsi="宋体" w:eastAsia="仿宋_GB2312" w:cs="宋体"/>
          <w:sz w:val="32"/>
          <w:szCs w:val="32"/>
        </w:rPr>
        <w:t>及严重</w:t>
      </w:r>
      <w:r>
        <w:rPr>
          <w:rFonts w:hint="default" w:ascii="仿宋_GB2312" w:hAnsi="宋体" w:eastAsia="仿宋_GB2312" w:cs="宋体"/>
          <w:sz w:val="32"/>
          <w:szCs w:val="32"/>
        </w:rPr>
        <w:t>行政处罚</w:t>
      </w:r>
      <w:r>
        <w:rPr>
          <w:rFonts w:ascii="仿宋_GB2312" w:hAnsi="宋体" w:eastAsia="仿宋_GB2312" w:cs="宋体"/>
          <w:sz w:val="32"/>
          <w:szCs w:val="32"/>
        </w:rPr>
        <w:t>，无</w:t>
      </w:r>
      <w:r>
        <w:rPr>
          <w:rFonts w:hint="default" w:ascii="仿宋_GB2312" w:hAnsi="宋体" w:eastAsia="仿宋_GB2312" w:cs="宋体"/>
          <w:sz w:val="32"/>
          <w:szCs w:val="32"/>
        </w:rPr>
        <w:t>司法、行政机关认定的严重失信行为</w:t>
      </w:r>
      <w:r>
        <w:rPr>
          <w:rFonts w:ascii="仿宋_GB2312" w:hAnsi="宋体" w:eastAsia="仿宋_GB2312" w:cs="宋体"/>
          <w:sz w:val="32"/>
          <w:szCs w:val="32"/>
        </w:rPr>
        <w:t>。</w:t>
      </w:r>
    </w:p>
    <w:p>
      <w:pPr>
        <w:pStyle w:val="3"/>
        <w:widowControl/>
        <w:snapToGrid w:val="0"/>
        <w:spacing w:line="560" w:lineRule="exact"/>
        <w:rPr>
          <w:rFonts w:hint="default" w:ascii="仿宋_GB2312" w:hAnsi="宋体" w:eastAsia="仿宋_GB2312" w:cs="宋体"/>
          <w:sz w:val="32"/>
          <w:szCs w:val="32"/>
        </w:rPr>
      </w:pPr>
      <w:r>
        <w:rPr>
          <w:rFonts w:ascii="仿宋_GB2312" w:hAnsi="宋体" w:eastAsia="仿宋_GB2312" w:cs="宋体"/>
          <w:sz w:val="32"/>
          <w:szCs w:val="32"/>
        </w:rPr>
        <w:t>　　（三）基地建设立项手续完备，符合本市产业政策和发展规划，具有明确的发展方向、产业定位和完善的管理制度。</w:t>
      </w:r>
    </w:p>
    <w:p>
      <w:pPr>
        <w:pStyle w:val="3"/>
        <w:widowControl/>
        <w:snapToGrid w:val="0"/>
        <w:spacing w:line="560" w:lineRule="exact"/>
        <w:rPr>
          <w:rFonts w:hint="default" w:ascii="仿宋_GB2312" w:hAnsi="宋体" w:eastAsia="仿宋_GB2312" w:cs="宋体"/>
          <w:sz w:val="32"/>
          <w:szCs w:val="32"/>
        </w:rPr>
      </w:pPr>
      <w:r>
        <w:rPr>
          <w:rFonts w:ascii="仿宋_GB2312" w:hAnsi="宋体" w:eastAsia="仿宋_GB2312" w:cs="宋体"/>
          <w:sz w:val="32"/>
          <w:szCs w:val="32"/>
        </w:rPr>
        <w:t>　　（四）基地建筑总面积不少于5000平方米，基地内软硬件基础设施和配套服务设施完善，公共服务空间不少于500平方米。</w:t>
      </w:r>
    </w:p>
    <w:p>
      <w:pPr>
        <w:pStyle w:val="3"/>
        <w:widowControl/>
        <w:snapToGrid w:val="0"/>
        <w:spacing w:line="560" w:lineRule="exact"/>
        <w:rPr>
          <w:rFonts w:hint="default" w:ascii="仿宋_GB2312" w:hAnsi="宋体" w:eastAsia="仿宋_GB2312" w:cs="宋体"/>
          <w:sz w:val="32"/>
          <w:szCs w:val="32"/>
        </w:rPr>
      </w:pPr>
      <w:r>
        <w:rPr>
          <w:rFonts w:ascii="仿宋_GB2312" w:hAnsi="宋体" w:eastAsia="仿宋_GB2312" w:cs="宋体"/>
          <w:sz w:val="32"/>
          <w:szCs w:val="32"/>
        </w:rPr>
        <w:t>　　（五）基地入驻本市小型、微型企业原则上不少于</w:t>
      </w:r>
      <w:r>
        <w:rPr>
          <w:rFonts w:hint="default" w:ascii="仿宋_GB2312" w:hAnsi="宋体" w:eastAsia="仿宋_GB2312" w:cs="宋体"/>
          <w:sz w:val="32"/>
          <w:szCs w:val="32"/>
        </w:rPr>
        <w:t>60</w:t>
      </w:r>
      <w:r>
        <w:rPr>
          <w:rFonts w:ascii="仿宋_GB2312" w:hAnsi="宋体" w:eastAsia="仿宋_GB2312" w:cs="宋体"/>
          <w:sz w:val="32"/>
          <w:szCs w:val="32"/>
        </w:rPr>
        <w:t>家，</w:t>
      </w:r>
      <w:bookmarkStart w:id="0" w:name="OLE_LINK1"/>
      <w:r>
        <w:rPr>
          <w:rFonts w:ascii="仿宋_GB2312" w:hAnsi="宋体" w:eastAsia="仿宋_GB2312" w:cs="宋体"/>
          <w:sz w:val="32"/>
          <w:szCs w:val="32"/>
        </w:rPr>
        <w:t>且其中两个主导产业的企业集聚度</w:t>
      </w:r>
      <w:r>
        <w:rPr>
          <w:rStyle w:val="13"/>
          <w:rFonts w:hint="default" w:ascii="仿宋_GB2312" w:hAnsi="宋体" w:eastAsia="仿宋_GB2312" w:cs="宋体"/>
          <w:sz w:val="32"/>
          <w:szCs w:val="32"/>
        </w:rPr>
        <w:footnoteReference w:id="0"/>
      </w:r>
      <w:r>
        <w:rPr>
          <w:rFonts w:ascii="仿宋_GB2312" w:hAnsi="宋体" w:eastAsia="仿宋_GB2312" w:cs="宋体"/>
          <w:sz w:val="32"/>
          <w:szCs w:val="32"/>
        </w:rPr>
        <w:t>不低于</w:t>
      </w:r>
      <w:r>
        <w:rPr>
          <w:rFonts w:hint="default" w:ascii="仿宋_GB2312" w:hAnsi="宋体" w:eastAsia="仿宋_GB2312" w:cs="宋体"/>
          <w:sz w:val="32"/>
          <w:szCs w:val="32"/>
        </w:rPr>
        <w:t>60</w:t>
      </w:r>
      <w:r>
        <w:rPr>
          <w:rFonts w:ascii="仿宋_GB2312" w:hAnsi="宋体" w:eastAsia="仿宋_GB2312" w:cs="宋体"/>
          <w:sz w:val="32"/>
          <w:szCs w:val="32"/>
        </w:rPr>
        <w:t>%</w:t>
      </w:r>
      <w:bookmarkEnd w:id="0"/>
      <w:r>
        <w:rPr>
          <w:rFonts w:ascii="仿宋_GB2312" w:hAnsi="宋体" w:eastAsia="仿宋_GB2312" w:cs="宋体"/>
          <w:sz w:val="32"/>
          <w:szCs w:val="32"/>
        </w:rPr>
        <w:t>。对聚集新一代信息技术、医药健康、集成电路、智能网联汽车、智能制造等“高精尖”领域制造业企业的基地，入驻本市小型、微型企业原则上不少于40家，且其中两个主导产业的企业集聚度不低于</w:t>
      </w:r>
      <w:r>
        <w:rPr>
          <w:rFonts w:hint="default" w:ascii="仿宋_GB2312" w:hAnsi="宋体" w:eastAsia="仿宋_GB2312" w:cs="宋体"/>
          <w:sz w:val="32"/>
          <w:szCs w:val="32"/>
        </w:rPr>
        <w:t>80</w:t>
      </w:r>
      <w:r>
        <w:rPr>
          <w:rFonts w:ascii="仿宋_GB2312" w:hAnsi="宋体" w:eastAsia="仿宋_GB2312" w:cs="宋体"/>
          <w:sz w:val="32"/>
          <w:szCs w:val="32"/>
        </w:rPr>
        <w:t>%。</w:t>
      </w:r>
    </w:p>
    <w:p>
      <w:pPr>
        <w:pStyle w:val="3"/>
        <w:widowControl/>
        <w:snapToGrid w:val="0"/>
        <w:spacing w:line="560" w:lineRule="exact"/>
        <w:ind w:firstLine="640" w:firstLineChars="200"/>
        <w:rPr>
          <w:rFonts w:hint="default" w:ascii="仿宋_GB2312" w:hAnsi="宋体" w:eastAsia="仿宋_GB2312" w:cs="宋体"/>
          <w:sz w:val="32"/>
          <w:szCs w:val="32"/>
        </w:rPr>
      </w:pPr>
      <w:r>
        <w:rPr>
          <w:rFonts w:ascii="仿宋_GB2312" w:hAnsi="宋体" w:eastAsia="仿宋_GB2312" w:cs="宋体"/>
          <w:sz w:val="32"/>
          <w:szCs w:val="32"/>
        </w:rPr>
        <w:t>（六）运营主体治理结构完善、运营管理规范，有明确的战略规划、发展目标和实施方案。</w:t>
      </w:r>
    </w:p>
    <w:p>
      <w:pPr>
        <w:pStyle w:val="3"/>
        <w:widowControl/>
        <w:snapToGrid w:val="0"/>
        <w:spacing w:line="560" w:lineRule="exact"/>
        <w:ind w:firstLine="640" w:firstLineChars="200"/>
        <w:rPr>
          <w:rFonts w:hint="default" w:ascii="仿宋_GB2312" w:hAnsi="宋体" w:eastAsia="仿宋_GB2312" w:cs="宋体"/>
          <w:sz w:val="32"/>
          <w:szCs w:val="32"/>
        </w:rPr>
      </w:pPr>
      <w:r>
        <w:rPr>
          <w:rFonts w:ascii="仿宋_GB2312" w:hAnsi="宋体" w:eastAsia="仿宋_GB2312" w:cs="宋体"/>
          <w:sz w:val="32"/>
          <w:szCs w:val="32"/>
        </w:rPr>
        <w:t>（七）具有健全的管理制度、完备的服务流程、明晰的服务台账以及明确的收费标准和服务质量监督保证措施。</w:t>
      </w:r>
    </w:p>
    <w:p>
      <w:pPr>
        <w:pStyle w:val="3"/>
        <w:widowControl/>
        <w:snapToGrid w:val="0"/>
        <w:spacing w:line="560" w:lineRule="exact"/>
        <w:ind w:firstLine="640" w:firstLineChars="200"/>
        <w:rPr>
          <w:rFonts w:hint="default" w:ascii="仿宋_GB2312" w:hAnsi="宋体" w:eastAsia="仿宋_GB2312" w:cs="宋体"/>
          <w:sz w:val="32"/>
          <w:szCs w:val="32"/>
        </w:rPr>
      </w:pPr>
      <w:r>
        <w:rPr>
          <w:rFonts w:ascii="仿宋_GB2312" w:hAnsi="宋体" w:eastAsia="仿宋_GB2312" w:cs="宋体"/>
          <w:sz w:val="32"/>
          <w:szCs w:val="32"/>
        </w:rPr>
        <w:t>（八）有健全的管理团队和人才队伍，为小微企业服务的人员中，本科及以上学历和中级及以上技术职称人员不少于8人。</w:t>
      </w:r>
      <w:r>
        <w:rPr>
          <w:rFonts w:hint="default" w:ascii="仿宋_GB2312" w:hAnsi="宋体" w:eastAsia="仿宋_GB2312" w:cs="宋体"/>
          <w:sz w:val="32"/>
          <w:szCs w:val="32"/>
        </w:rPr>
        <w:t xml:space="preserve"> </w:t>
      </w:r>
    </w:p>
    <w:p>
      <w:pPr>
        <w:pStyle w:val="3"/>
        <w:widowControl/>
        <w:snapToGrid w:val="0"/>
        <w:spacing w:line="560" w:lineRule="exact"/>
        <w:ind w:firstLine="640"/>
        <w:rPr>
          <w:rFonts w:hint="default" w:ascii="仿宋_GB2312" w:hAnsi="宋体" w:eastAsia="仿宋_GB2312" w:cs="宋体"/>
          <w:sz w:val="32"/>
          <w:szCs w:val="32"/>
        </w:rPr>
      </w:pPr>
      <w:r>
        <w:rPr>
          <w:rFonts w:ascii="仿宋_GB2312" w:hAnsi="宋体" w:eastAsia="仿宋_GB2312" w:cs="宋体"/>
          <w:sz w:val="32"/>
          <w:szCs w:val="32"/>
        </w:rPr>
        <w:t>（九）入驻小微企业用户满意度不低于90%，且为入驻企业提供一定的公益性免费服务。</w:t>
      </w:r>
    </w:p>
    <w:p>
      <w:pPr>
        <w:pStyle w:val="3"/>
        <w:widowControl/>
        <w:snapToGrid w:val="0"/>
        <w:spacing w:line="560" w:lineRule="exact"/>
        <w:ind w:firstLine="640"/>
        <w:rPr>
          <w:rFonts w:hint="default" w:ascii="仿宋_GB2312" w:hAnsi="宋体" w:eastAsia="仿宋_GB2312" w:cs="宋体"/>
          <w:sz w:val="32"/>
          <w:szCs w:val="32"/>
        </w:rPr>
      </w:pPr>
      <w:r>
        <w:rPr>
          <w:rFonts w:ascii="仿宋_GB2312" w:hAnsi="宋体" w:eastAsia="仿宋_GB2312" w:cs="宋体"/>
          <w:sz w:val="32"/>
          <w:szCs w:val="32"/>
        </w:rPr>
        <w:t>（十）建有企业服务站，配有</w:t>
      </w:r>
      <w:r>
        <w:rPr>
          <w:rFonts w:ascii="仿宋_GB2312" w:hAnsi="仿宋_GB2312" w:eastAsia="仿宋_GB2312" w:cs="仿宋_GB2312"/>
          <w:sz w:val="32"/>
          <w:szCs w:val="32"/>
        </w:rPr>
        <w:t>固定的办公场所和服务设备、明确岗位设置的服务工作人员、完备的工作指南和制度流程，统筹调配服务资源，为入驻企业提供各类对接服务。</w:t>
      </w:r>
    </w:p>
    <w:p>
      <w:pPr>
        <w:pStyle w:val="3"/>
        <w:widowControl/>
        <w:snapToGrid w:val="0"/>
        <w:spacing w:line="560" w:lineRule="exact"/>
        <w:ind w:firstLine="641"/>
        <w:outlineLvl w:val="1"/>
        <w:rPr>
          <w:rFonts w:hint="default" w:ascii="仿宋_GB2312" w:hAnsi="宋体" w:eastAsia="仿宋_GB2312" w:cs="宋体"/>
          <w:sz w:val="32"/>
          <w:szCs w:val="32"/>
        </w:rPr>
      </w:pPr>
      <w:r>
        <w:rPr>
          <w:rFonts w:ascii="仿宋_GB2312" w:hAnsi="宋体" w:eastAsia="仿宋_GB2312" w:cs="宋体"/>
          <w:sz w:val="32"/>
          <w:szCs w:val="32"/>
        </w:rPr>
        <w:t>第七条 示范基地至少应具备以下服务功能中的三项：</w:t>
      </w:r>
    </w:p>
    <w:p>
      <w:pPr>
        <w:pStyle w:val="3"/>
        <w:widowControl/>
        <w:snapToGrid w:val="0"/>
        <w:spacing w:line="560" w:lineRule="exact"/>
        <w:ind w:firstLine="640"/>
        <w:rPr>
          <w:rFonts w:hint="default" w:ascii="仿宋_GB2312" w:hAnsi="宋体" w:eastAsia="仿宋_GB2312" w:cs="宋体"/>
          <w:sz w:val="32"/>
          <w:szCs w:val="32"/>
        </w:rPr>
      </w:pPr>
      <w:r>
        <w:rPr>
          <w:rFonts w:ascii="仿宋_GB2312" w:hAnsi="宋体" w:eastAsia="仿宋_GB2312" w:cs="宋体"/>
          <w:sz w:val="32"/>
          <w:szCs w:val="32"/>
        </w:rPr>
        <w:t>（一）创业辅导。为创业人员或入驻小微企业提供创业咨询、开业指导、创业辅导和培训等服务。具备提供一对一或一对多的专家辅导能力，辅导内容包括但不限于商业模式梳理、股权结构诊断、商业计划书撰写、项目路演等。</w:t>
      </w:r>
    </w:p>
    <w:p>
      <w:pPr>
        <w:pStyle w:val="3"/>
        <w:widowControl/>
        <w:snapToGrid w:val="0"/>
        <w:spacing w:line="560" w:lineRule="exact"/>
        <w:ind w:firstLine="640"/>
        <w:rPr>
          <w:rFonts w:hint="default" w:ascii="仿宋_GB2312" w:hAnsi="宋体" w:eastAsia="仿宋_GB2312" w:cs="宋体"/>
          <w:sz w:val="32"/>
          <w:szCs w:val="32"/>
        </w:rPr>
      </w:pPr>
      <w:r>
        <w:rPr>
          <w:rFonts w:ascii="仿宋_GB2312" w:hAnsi="宋体" w:eastAsia="仿宋_GB2312" w:cs="宋体"/>
          <w:sz w:val="32"/>
          <w:szCs w:val="32"/>
        </w:rPr>
        <w:t>（二）创新支持。具有知识产权服务或组织技术服务资源的能力，能够进行科技成果、科技人才、研发项目和资本等多方对接，为入驻企业提供技术、产品、服务和模式创新等服务。</w:t>
      </w:r>
    </w:p>
    <w:p>
      <w:pPr>
        <w:pStyle w:val="3"/>
        <w:widowControl/>
        <w:snapToGrid w:val="0"/>
        <w:spacing w:line="560" w:lineRule="exact"/>
        <w:ind w:firstLine="640"/>
        <w:rPr>
          <w:rFonts w:hint="default" w:ascii="仿宋_GB2312" w:hAnsi="宋体" w:eastAsia="仿宋_GB2312" w:cs="宋体"/>
          <w:sz w:val="32"/>
          <w:szCs w:val="32"/>
        </w:rPr>
      </w:pPr>
      <w:r>
        <w:rPr>
          <w:rFonts w:ascii="仿宋_GB2312" w:hAnsi="宋体" w:eastAsia="仿宋_GB2312" w:cs="宋体"/>
          <w:sz w:val="32"/>
          <w:szCs w:val="32"/>
        </w:rPr>
        <w:t>（三）信息服务。有信息化服务系统，能够应用互联网、物联网、云计算、大数据等手段为入驻企业提供办公、研发、设计、管理、制造、营销、融资等方面的信息查询和应用服务。</w:t>
      </w:r>
    </w:p>
    <w:p>
      <w:pPr>
        <w:pStyle w:val="3"/>
        <w:widowControl/>
        <w:snapToGrid w:val="0"/>
        <w:spacing w:line="560" w:lineRule="exact"/>
        <w:ind w:firstLine="640"/>
        <w:rPr>
          <w:rFonts w:hint="default" w:ascii="仿宋_GB2312" w:hAnsi="宋体" w:eastAsia="仿宋_GB2312" w:cs="宋体"/>
          <w:sz w:val="32"/>
          <w:szCs w:val="32"/>
        </w:rPr>
      </w:pPr>
      <w:r>
        <w:rPr>
          <w:rFonts w:ascii="仿宋_GB2312" w:hAnsi="宋体" w:eastAsia="仿宋_GB2312" w:cs="宋体"/>
          <w:sz w:val="32"/>
          <w:szCs w:val="32"/>
        </w:rPr>
        <w:t>（四）投融资服务。联合金融机构为入驻企业提供融资信息咨询、培训、担保、租赁、投融资对接和上市辅导等金融服务；通过自有资金或引入外部资金对入驻企业开展投资业务。</w:t>
      </w:r>
    </w:p>
    <w:p>
      <w:pPr>
        <w:pStyle w:val="3"/>
        <w:widowControl/>
        <w:snapToGrid w:val="0"/>
        <w:spacing w:line="560" w:lineRule="exact"/>
        <w:ind w:firstLine="640"/>
        <w:rPr>
          <w:rFonts w:hint="default" w:ascii="仿宋_GB2312" w:hAnsi="宋体" w:eastAsia="仿宋_GB2312" w:cs="宋体"/>
          <w:sz w:val="32"/>
          <w:szCs w:val="32"/>
        </w:rPr>
      </w:pPr>
      <w:r>
        <w:rPr>
          <w:rFonts w:ascii="仿宋_GB2312" w:hAnsi="宋体" w:eastAsia="仿宋_GB2312" w:cs="宋体"/>
          <w:sz w:val="32"/>
          <w:szCs w:val="32"/>
        </w:rPr>
        <w:t>（五）人员培训。为创业人员、企业经营者、专业技术人员和员工提供各类培训；为大学毕业生提供见习岗位。</w:t>
      </w:r>
    </w:p>
    <w:p>
      <w:pPr>
        <w:pStyle w:val="3"/>
        <w:widowControl/>
        <w:snapToGrid w:val="0"/>
        <w:spacing w:line="560" w:lineRule="exact"/>
        <w:ind w:firstLine="640"/>
        <w:rPr>
          <w:rFonts w:hint="default" w:ascii="仿宋_GB2312" w:hAnsi="宋体" w:eastAsia="仿宋_GB2312" w:cs="宋体"/>
          <w:sz w:val="32"/>
          <w:szCs w:val="32"/>
        </w:rPr>
      </w:pPr>
      <w:r>
        <w:rPr>
          <w:rFonts w:ascii="仿宋_GB2312" w:hAnsi="宋体" w:eastAsia="仿宋_GB2312" w:cs="宋体"/>
          <w:sz w:val="32"/>
          <w:szCs w:val="32"/>
        </w:rPr>
        <w:t>（六）管理咨询。提供发展战略、财务管理、人力资源、市场营销等管理咨询服务以及技术咨询服务。</w:t>
      </w:r>
    </w:p>
    <w:p>
      <w:pPr>
        <w:pStyle w:val="3"/>
        <w:widowControl/>
        <w:snapToGrid w:val="0"/>
        <w:spacing w:line="560" w:lineRule="exact"/>
        <w:ind w:firstLine="640"/>
        <w:rPr>
          <w:rFonts w:hint="default" w:ascii="仿宋_GB2312" w:hAnsi="宋体" w:eastAsia="仿宋_GB2312" w:cs="宋体"/>
          <w:sz w:val="32"/>
          <w:szCs w:val="32"/>
        </w:rPr>
      </w:pPr>
      <w:r>
        <w:rPr>
          <w:rFonts w:ascii="仿宋_GB2312" w:hAnsi="宋体" w:eastAsia="仿宋_GB2312" w:cs="宋体"/>
          <w:sz w:val="32"/>
          <w:szCs w:val="32"/>
        </w:rPr>
        <w:t>（七）专业咨询。提供法律咨询及援助，代理会计、审计、评估、节能环保、安全生产等专业咨询服务。</w:t>
      </w:r>
    </w:p>
    <w:p>
      <w:pPr>
        <w:pStyle w:val="3"/>
        <w:widowControl/>
        <w:snapToGrid w:val="0"/>
        <w:spacing w:line="560" w:lineRule="exact"/>
        <w:ind w:firstLine="640"/>
        <w:rPr>
          <w:rFonts w:hint="default" w:ascii="仿宋_GB2312" w:hAnsi="宋体" w:eastAsia="仿宋_GB2312" w:cs="宋体"/>
          <w:sz w:val="32"/>
          <w:szCs w:val="32"/>
        </w:rPr>
      </w:pPr>
      <w:r>
        <w:rPr>
          <w:rFonts w:ascii="仿宋_GB2312" w:hAnsi="宋体" w:eastAsia="仿宋_GB2312" w:cs="宋体"/>
          <w:sz w:val="32"/>
          <w:szCs w:val="32"/>
        </w:rPr>
        <w:t>（八）产业链服务。为企业对接上下游资源，提供产业链协同配套和供应链管理等服务。</w:t>
      </w:r>
      <w:r>
        <w:rPr>
          <w:rFonts w:ascii="仿宋_GB2312" w:eastAsia="仿宋_GB2312"/>
          <w:sz w:val="32"/>
          <w:szCs w:val="32"/>
        </w:rPr>
        <w:t>具有与产业方向一致的厂房、实验室、技术平台等配套设施，为企业提供技术研发、工业设计、概念验证、小试中试、检验检测等专业化服务。</w:t>
      </w:r>
    </w:p>
    <w:p>
      <w:pPr>
        <w:pStyle w:val="3"/>
        <w:widowControl/>
        <w:snapToGrid w:val="0"/>
        <w:spacing w:line="560" w:lineRule="exact"/>
        <w:ind w:firstLine="640"/>
        <w:rPr>
          <w:rFonts w:hint="default" w:ascii="仿宋_GB2312" w:hAnsi="宋体" w:eastAsia="仿宋_GB2312" w:cs="宋体"/>
          <w:sz w:val="32"/>
          <w:szCs w:val="32"/>
        </w:rPr>
      </w:pPr>
      <w:r>
        <w:rPr>
          <w:rFonts w:ascii="仿宋_GB2312" w:hAnsi="宋体" w:eastAsia="仿宋_GB2312" w:cs="宋体"/>
          <w:sz w:val="32"/>
          <w:szCs w:val="32"/>
        </w:rPr>
        <w:t>以上服务能力要求包括基地引入的第三方专业机构的服务。</w:t>
      </w:r>
    </w:p>
    <w:p>
      <w:pPr>
        <w:pStyle w:val="3"/>
        <w:widowControl/>
        <w:snapToGrid w:val="0"/>
        <w:spacing w:line="560" w:lineRule="exact"/>
        <w:ind w:firstLine="641"/>
        <w:outlineLvl w:val="1"/>
        <w:rPr>
          <w:rFonts w:hint="default" w:ascii="仿宋_GB2312" w:hAnsi="宋体" w:eastAsia="仿宋_GB2312" w:cs="宋体"/>
          <w:sz w:val="32"/>
          <w:szCs w:val="32"/>
        </w:rPr>
      </w:pPr>
      <w:r>
        <w:rPr>
          <w:rFonts w:ascii="仿宋_GB2312" w:hAnsi="宋体" w:eastAsia="仿宋_GB2312" w:cs="宋体"/>
          <w:sz w:val="32"/>
          <w:szCs w:val="32"/>
        </w:rPr>
        <w:t>第八条</w:t>
      </w:r>
      <w:r>
        <w:rPr>
          <w:rFonts w:ascii="仿宋_GB2312" w:hAnsi="宋体" w:eastAsia="仿宋_GB2312" w:cs="宋体"/>
          <w:b/>
          <w:bCs/>
          <w:sz w:val="32"/>
          <w:szCs w:val="32"/>
        </w:rPr>
        <w:t xml:space="preserve"> </w:t>
      </w:r>
      <w:r>
        <w:rPr>
          <w:rFonts w:ascii="仿宋_GB2312" w:hAnsi="宋体" w:eastAsia="仿宋_GB2312" w:cs="宋体"/>
          <w:sz w:val="32"/>
          <w:szCs w:val="32"/>
        </w:rPr>
        <w:t>鼓励具备下列特征的基地发展:</w:t>
      </w:r>
    </w:p>
    <w:p>
      <w:pPr>
        <w:pStyle w:val="3"/>
        <w:widowControl/>
        <w:snapToGrid w:val="0"/>
        <w:spacing w:line="560" w:lineRule="exact"/>
        <w:ind w:firstLine="640"/>
        <w:rPr>
          <w:rFonts w:hint="default" w:ascii="仿宋_GB2312" w:hAnsi="宋体" w:eastAsia="仿宋_GB2312" w:cs="宋体"/>
          <w:sz w:val="32"/>
          <w:szCs w:val="32"/>
        </w:rPr>
      </w:pPr>
      <w:r>
        <w:rPr>
          <w:rFonts w:ascii="仿宋_GB2312" w:hAnsi="宋体" w:eastAsia="仿宋_GB2312" w:cs="宋体"/>
          <w:sz w:val="32"/>
          <w:szCs w:val="32"/>
        </w:rPr>
        <w:t>（一）重点培育科技型、创新型等高成长小微企业的基地。</w:t>
      </w:r>
    </w:p>
    <w:p>
      <w:pPr>
        <w:pStyle w:val="3"/>
        <w:widowControl/>
        <w:snapToGrid w:val="0"/>
        <w:spacing w:line="560" w:lineRule="exact"/>
        <w:ind w:firstLine="640"/>
        <w:rPr>
          <w:rFonts w:hint="default" w:ascii="仿宋_GB2312" w:hAnsi="宋体" w:eastAsia="仿宋_GB2312" w:cs="宋体"/>
          <w:sz w:val="32"/>
          <w:szCs w:val="32"/>
        </w:rPr>
      </w:pPr>
      <w:r>
        <w:rPr>
          <w:rFonts w:ascii="仿宋_GB2312" w:hAnsi="宋体" w:eastAsia="仿宋_GB2312" w:cs="宋体"/>
          <w:sz w:val="32"/>
          <w:szCs w:val="32"/>
        </w:rPr>
        <w:t>（二）与科研院所、行业领军或知名企业、创投机构合作，为入驻企业提供技术创新、场景应用和投融资服务的基地。</w:t>
      </w:r>
    </w:p>
    <w:p>
      <w:pPr>
        <w:pStyle w:val="3"/>
        <w:widowControl/>
        <w:snapToGrid w:val="0"/>
        <w:spacing w:line="560" w:lineRule="exact"/>
        <w:ind w:firstLine="640" w:firstLineChars="200"/>
        <w:rPr>
          <w:rFonts w:hint="default" w:ascii="仿宋_GB2312" w:hAnsi="宋体" w:eastAsia="仿宋_GB2312" w:cs="宋体"/>
          <w:sz w:val="32"/>
          <w:szCs w:val="32"/>
        </w:rPr>
      </w:pPr>
      <w:r>
        <w:rPr>
          <w:rFonts w:ascii="仿宋_GB2312" w:hAnsi="宋体" w:eastAsia="仿宋_GB2312" w:cs="宋体"/>
          <w:sz w:val="32"/>
          <w:szCs w:val="32"/>
        </w:rPr>
        <w:t>（三）立足首都战略功能定位，聚焦“高精尖”产业领域面向小微企业提供专业化、定制化和产业链服务。</w:t>
      </w:r>
    </w:p>
    <w:p>
      <w:pPr>
        <w:pStyle w:val="3"/>
        <w:widowControl/>
        <w:snapToGrid w:val="0"/>
        <w:spacing w:line="560" w:lineRule="exact"/>
        <w:ind w:firstLine="640" w:firstLineChars="200"/>
        <w:rPr>
          <w:rFonts w:hint="default" w:ascii="仿宋_GB2312" w:hAnsi="宋体" w:eastAsia="仿宋_GB2312" w:cs="宋体"/>
          <w:sz w:val="32"/>
          <w:szCs w:val="32"/>
        </w:rPr>
      </w:pPr>
      <w:r>
        <w:rPr>
          <w:rFonts w:ascii="仿宋_GB2312" w:hAnsi="宋体" w:eastAsia="仿宋_GB2312" w:cs="宋体"/>
          <w:sz w:val="32"/>
          <w:szCs w:val="32"/>
        </w:rPr>
        <w:t>（四）数字化水平高，基本达到物业服务智慧化、运营管理智能化、信息收集分析数字化的基地。</w:t>
      </w:r>
    </w:p>
    <w:p>
      <w:pPr>
        <w:pStyle w:val="3"/>
        <w:widowControl/>
        <w:snapToGrid w:val="0"/>
        <w:spacing w:line="560" w:lineRule="exact"/>
        <w:jc w:val="center"/>
        <w:outlineLvl w:val="0"/>
        <w:rPr>
          <w:rFonts w:hint="default" w:ascii="黑体" w:hAnsi="宋体" w:eastAsia="黑体" w:cs="宋体"/>
          <w:sz w:val="32"/>
          <w:szCs w:val="32"/>
        </w:rPr>
      </w:pPr>
    </w:p>
    <w:p>
      <w:pPr>
        <w:pStyle w:val="3"/>
        <w:widowControl/>
        <w:snapToGrid w:val="0"/>
        <w:spacing w:line="560" w:lineRule="exact"/>
        <w:jc w:val="center"/>
        <w:outlineLvl w:val="0"/>
        <w:rPr>
          <w:rFonts w:hint="default" w:ascii="黑体" w:hAnsi="宋体" w:eastAsia="黑体" w:cs="宋体"/>
          <w:sz w:val="32"/>
          <w:szCs w:val="32"/>
        </w:rPr>
      </w:pPr>
      <w:r>
        <w:rPr>
          <w:rFonts w:ascii="黑体" w:hAnsi="宋体" w:eastAsia="黑体" w:cs="宋体"/>
          <w:sz w:val="32"/>
          <w:szCs w:val="32"/>
        </w:rPr>
        <w:t>第三章 申报认定</w:t>
      </w:r>
    </w:p>
    <w:p>
      <w:pPr>
        <w:pStyle w:val="3"/>
        <w:widowControl/>
        <w:snapToGrid w:val="0"/>
        <w:spacing w:line="560" w:lineRule="exact"/>
        <w:ind w:firstLine="645"/>
        <w:outlineLvl w:val="1"/>
        <w:rPr>
          <w:rFonts w:hint="default" w:ascii="仿宋_GB2312" w:hAnsi="宋体" w:eastAsia="仿宋_GB2312" w:cs="宋体"/>
          <w:sz w:val="32"/>
          <w:szCs w:val="32"/>
        </w:rPr>
      </w:pPr>
      <w:r>
        <w:rPr>
          <w:rFonts w:ascii="仿宋_GB2312" w:hAnsi="宋体" w:eastAsia="仿宋_GB2312" w:cs="宋体"/>
          <w:sz w:val="32"/>
          <w:szCs w:val="32"/>
        </w:rPr>
        <w:t>第九条 示范基地的申报认定遵循公开征集、自愿申报原则。</w:t>
      </w:r>
    </w:p>
    <w:p>
      <w:pPr>
        <w:pStyle w:val="3"/>
        <w:widowControl/>
        <w:snapToGrid w:val="0"/>
        <w:spacing w:line="560" w:lineRule="exact"/>
        <w:ind w:firstLine="645"/>
        <w:outlineLvl w:val="1"/>
        <w:rPr>
          <w:rFonts w:hint="default" w:ascii="仿宋_GB2312" w:hAnsi="宋体" w:eastAsia="仿宋_GB2312" w:cs="宋体"/>
          <w:sz w:val="32"/>
          <w:szCs w:val="32"/>
        </w:rPr>
      </w:pPr>
      <w:r>
        <w:rPr>
          <w:rFonts w:ascii="仿宋_GB2312" w:hAnsi="宋体" w:eastAsia="仿宋_GB2312" w:cs="宋体"/>
          <w:sz w:val="32"/>
          <w:szCs w:val="32"/>
        </w:rPr>
        <w:t>第十条 市经济和信息化局原则上每年发布申报通知，申请单位按通知要求提交相关申报材料。</w:t>
      </w:r>
    </w:p>
    <w:p>
      <w:pPr>
        <w:widowControl/>
        <w:snapToGrid w:val="0"/>
        <w:spacing w:line="560" w:lineRule="exact"/>
        <w:ind w:firstLine="660"/>
        <w:jc w:val="left"/>
        <w:outlineLvl w:val="1"/>
        <w:rPr>
          <w:rFonts w:ascii="仿宋_GB2312" w:hAnsi="宋体" w:eastAsia="仿宋_GB2312" w:cs="宋体"/>
          <w:sz w:val="32"/>
          <w:szCs w:val="32"/>
        </w:rPr>
      </w:pPr>
      <w:r>
        <w:rPr>
          <w:rFonts w:ascii="仿宋_GB2312" w:hAnsi="宋体" w:eastAsia="仿宋_GB2312" w:cs="宋体"/>
          <w:sz w:val="32"/>
          <w:szCs w:val="32"/>
        </w:rPr>
        <w:t>第十</w:t>
      </w:r>
      <w:r>
        <w:rPr>
          <w:rFonts w:hint="eastAsia" w:ascii="仿宋_GB2312" w:hAnsi="宋体" w:eastAsia="仿宋_GB2312" w:cs="宋体"/>
          <w:sz w:val="32"/>
          <w:szCs w:val="32"/>
        </w:rPr>
        <w:t>一</w:t>
      </w:r>
      <w:r>
        <w:rPr>
          <w:rFonts w:ascii="仿宋_GB2312" w:hAnsi="宋体" w:eastAsia="仿宋_GB2312" w:cs="宋体"/>
          <w:sz w:val="32"/>
          <w:szCs w:val="32"/>
        </w:rPr>
        <w:t>条 市经济和信息化局组织开展</w:t>
      </w:r>
      <w:r>
        <w:rPr>
          <w:rFonts w:hint="eastAsia" w:ascii="仿宋_GB2312" w:hAnsi="宋体" w:eastAsia="仿宋_GB2312" w:cs="宋体"/>
          <w:sz w:val="32"/>
          <w:szCs w:val="32"/>
        </w:rPr>
        <w:t>示范基地认定评价工作</w:t>
      </w:r>
      <w:r>
        <w:rPr>
          <w:rFonts w:ascii="仿宋_GB2312" w:hAnsi="宋体" w:eastAsia="仿宋_GB2312" w:cs="宋体"/>
          <w:sz w:val="32"/>
          <w:szCs w:val="32"/>
        </w:rPr>
        <w:t>。对达到认定标准的</w:t>
      </w:r>
      <w:r>
        <w:rPr>
          <w:rFonts w:hint="eastAsia" w:ascii="仿宋_GB2312" w:hAnsi="宋体" w:eastAsia="仿宋_GB2312" w:cs="宋体"/>
          <w:sz w:val="32"/>
          <w:szCs w:val="32"/>
        </w:rPr>
        <w:t>，</w:t>
      </w:r>
      <w:r>
        <w:rPr>
          <w:rFonts w:ascii="仿宋_GB2312" w:hAnsi="宋体" w:eastAsia="仿宋_GB2312" w:cs="宋体"/>
          <w:sz w:val="32"/>
          <w:szCs w:val="32"/>
        </w:rPr>
        <w:t>通过</w:t>
      </w:r>
      <w:r>
        <w:rPr>
          <w:rFonts w:hint="eastAsia" w:ascii="仿宋_GB2312" w:hAnsi="宋体" w:eastAsia="仿宋_GB2312" w:cs="宋体"/>
          <w:sz w:val="32"/>
          <w:szCs w:val="32"/>
        </w:rPr>
        <w:t>市经济和信息化局网站</w:t>
      </w:r>
      <w:r>
        <w:rPr>
          <w:rFonts w:ascii="仿宋_GB2312" w:hAnsi="宋体" w:eastAsia="仿宋_GB2312" w:cs="宋体"/>
          <w:sz w:val="32"/>
          <w:szCs w:val="32"/>
        </w:rPr>
        <w:t>对外</w:t>
      </w:r>
      <w:r>
        <w:rPr>
          <w:rFonts w:hint="eastAsia" w:ascii="仿宋_GB2312" w:hAnsi="宋体" w:eastAsia="仿宋_GB2312" w:cs="宋体"/>
          <w:sz w:val="32"/>
          <w:szCs w:val="32"/>
        </w:rPr>
        <w:t>公示，接受社会监督。</w:t>
      </w:r>
    </w:p>
    <w:p>
      <w:pPr>
        <w:pStyle w:val="3"/>
        <w:widowControl/>
        <w:snapToGrid w:val="0"/>
        <w:spacing w:line="560" w:lineRule="exact"/>
        <w:ind w:firstLine="643"/>
        <w:outlineLvl w:val="1"/>
        <w:rPr>
          <w:rFonts w:hint="default" w:ascii="仿宋_GB2312" w:hAnsi="宋体" w:eastAsia="仿宋_GB2312" w:cs="宋体"/>
          <w:sz w:val="32"/>
          <w:szCs w:val="32"/>
        </w:rPr>
      </w:pPr>
      <w:r>
        <w:rPr>
          <w:rFonts w:ascii="仿宋_GB2312" w:hAnsi="宋体" w:eastAsia="仿宋_GB2312" w:cs="宋体"/>
          <w:sz w:val="32"/>
          <w:szCs w:val="32"/>
        </w:rPr>
        <w:t>第十二条 公示无异议的，市经济和信息化局发布公告，授予“北京市小型微型企业创业创新示范基地”称号。</w:t>
      </w:r>
    </w:p>
    <w:p>
      <w:pPr>
        <w:pStyle w:val="3"/>
        <w:widowControl/>
        <w:snapToGrid w:val="0"/>
        <w:spacing w:line="560" w:lineRule="exact"/>
        <w:jc w:val="center"/>
        <w:outlineLvl w:val="0"/>
        <w:rPr>
          <w:rFonts w:hint="default" w:ascii="黑体" w:hAnsi="宋体" w:eastAsia="黑体" w:cs="宋体"/>
          <w:sz w:val="32"/>
          <w:szCs w:val="32"/>
        </w:rPr>
      </w:pPr>
    </w:p>
    <w:p>
      <w:pPr>
        <w:pStyle w:val="3"/>
        <w:widowControl/>
        <w:snapToGrid w:val="0"/>
        <w:spacing w:line="560" w:lineRule="exact"/>
        <w:jc w:val="center"/>
        <w:outlineLvl w:val="0"/>
        <w:rPr>
          <w:rFonts w:hint="default" w:ascii="黑体" w:hAnsi="宋体" w:eastAsia="黑体" w:cs="宋体"/>
          <w:sz w:val="32"/>
          <w:szCs w:val="32"/>
        </w:rPr>
      </w:pPr>
      <w:r>
        <w:rPr>
          <w:rFonts w:ascii="黑体" w:hAnsi="宋体" w:eastAsia="黑体" w:cs="宋体"/>
          <w:sz w:val="32"/>
          <w:szCs w:val="32"/>
        </w:rPr>
        <w:t>第四章　绩效评价</w:t>
      </w:r>
    </w:p>
    <w:p>
      <w:pPr>
        <w:widowControl/>
        <w:snapToGrid w:val="0"/>
        <w:spacing w:line="560" w:lineRule="exact"/>
        <w:ind w:firstLine="658"/>
        <w:outlineLvl w:val="1"/>
        <w:rPr>
          <w:rFonts w:ascii="仿宋_GB2312" w:hAnsi="宋体" w:eastAsia="仿宋_GB2312" w:cs="宋体"/>
          <w:sz w:val="32"/>
          <w:szCs w:val="32"/>
        </w:rPr>
      </w:pPr>
      <w:r>
        <w:rPr>
          <w:rFonts w:ascii="仿宋_GB2312" w:hAnsi="宋体" w:eastAsia="仿宋_GB2312" w:cs="宋体"/>
          <w:sz w:val="32"/>
          <w:szCs w:val="32"/>
        </w:rPr>
        <w:t>第十</w:t>
      </w:r>
      <w:r>
        <w:rPr>
          <w:rFonts w:hint="eastAsia" w:ascii="仿宋_GB2312" w:hAnsi="宋体" w:eastAsia="仿宋_GB2312" w:cs="宋体"/>
          <w:sz w:val="32"/>
          <w:szCs w:val="32"/>
        </w:rPr>
        <w:t>三</w:t>
      </w:r>
      <w:r>
        <w:rPr>
          <w:rFonts w:ascii="仿宋_GB2312" w:hAnsi="宋体" w:eastAsia="仿宋_GB2312" w:cs="宋体"/>
          <w:sz w:val="32"/>
          <w:szCs w:val="32"/>
        </w:rPr>
        <w:t xml:space="preserve">条 </w:t>
      </w:r>
      <w:r>
        <w:rPr>
          <w:rFonts w:hint="eastAsia" w:ascii="仿宋_GB2312" w:hAnsi="宋体" w:eastAsia="仿宋_GB2312" w:cs="宋体"/>
          <w:sz w:val="32"/>
          <w:szCs w:val="32"/>
        </w:rPr>
        <w:t>示范基地实行动态管理，经认定的示范基地</w:t>
      </w:r>
      <w:r>
        <w:rPr>
          <w:rFonts w:ascii="仿宋_GB2312" w:hAnsi="宋体" w:eastAsia="仿宋_GB2312" w:cs="宋体"/>
          <w:sz w:val="32"/>
          <w:szCs w:val="32"/>
        </w:rPr>
        <w:t>原则上应每年参加市经济和信息化局组织</w:t>
      </w:r>
      <w:r>
        <w:rPr>
          <w:rFonts w:hint="eastAsia" w:ascii="仿宋_GB2312" w:hAnsi="宋体" w:eastAsia="仿宋_GB2312" w:cs="宋体"/>
          <w:sz w:val="32"/>
          <w:szCs w:val="32"/>
        </w:rPr>
        <w:t>的</w:t>
      </w:r>
      <w:r>
        <w:rPr>
          <w:rFonts w:ascii="仿宋_GB2312" w:hAnsi="宋体" w:eastAsia="仿宋_GB2312" w:cs="宋体"/>
          <w:sz w:val="32"/>
          <w:szCs w:val="32"/>
        </w:rPr>
        <w:t>绩效评价和星级评定。未按要求参加的，</w:t>
      </w:r>
      <w:r>
        <w:rPr>
          <w:rFonts w:hint="eastAsia" w:ascii="仿宋_GB2312" w:hAnsi="宋体" w:eastAsia="仿宋_GB2312" w:cs="宋体"/>
          <w:sz w:val="32"/>
          <w:szCs w:val="32"/>
        </w:rPr>
        <w:t>视同为绩效</w:t>
      </w:r>
      <w:r>
        <w:rPr>
          <w:rFonts w:ascii="仿宋_GB2312" w:hAnsi="宋体" w:eastAsia="仿宋_GB2312" w:cs="宋体"/>
          <w:sz w:val="32"/>
          <w:szCs w:val="32"/>
        </w:rPr>
        <w:t>评价结果不合格。</w:t>
      </w:r>
    </w:p>
    <w:p>
      <w:pPr>
        <w:pStyle w:val="3"/>
        <w:widowControl/>
        <w:spacing w:line="560" w:lineRule="exact"/>
        <w:ind w:firstLine="640" w:firstLineChars="200"/>
        <w:outlineLvl w:val="1"/>
        <w:rPr>
          <w:rFonts w:hint="default" w:ascii="仿宋_GB2312" w:hAnsi="宋体" w:eastAsia="仿宋_GB2312" w:cs="宋体"/>
          <w:sz w:val="32"/>
          <w:szCs w:val="32"/>
        </w:rPr>
      </w:pPr>
      <w:r>
        <w:rPr>
          <w:rFonts w:ascii="仿宋_GB2312" w:hAnsi="宋体" w:eastAsia="仿宋_GB2312" w:cs="宋体"/>
          <w:sz w:val="32"/>
          <w:szCs w:val="32"/>
        </w:rPr>
        <w:t>第十四条 绩效评价结果不合格的，撤销已授予的示范基地称号。绩效评价结果一般的，保留其示范基地称号，不予资金支持。绩效评价结果较好的，分级分档给予资金奖励，对其为提升服务小微企业能力而发生的建设项目予以优先支持。</w:t>
      </w:r>
    </w:p>
    <w:p>
      <w:pPr>
        <w:pStyle w:val="3"/>
        <w:widowControl/>
        <w:snapToGrid w:val="0"/>
        <w:spacing w:line="560" w:lineRule="exact"/>
        <w:jc w:val="center"/>
        <w:outlineLvl w:val="0"/>
        <w:rPr>
          <w:rFonts w:hint="default" w:ascii="黑体" w:hAnsi="宋体" w:eastAsia="黑体" w:cs="宋体"/>
          <w:sz w:val="32"/>
          <w:szCs w:val="32"/>
        </w:rPr>
      </w:pPr>
    </w:p>
    <w:p>
      <w:pPr>
        <w:pStyle w:val="3"/>
        <w:widowControl/>
        <w:snapToGrid w:val="0"/>
        <w:spacing w:line="560" w:lineRule="exact"/>
        <w:jc w:val="center"/>
        <w:outlineLvl w:val="0"/>
        <w:rPr>
          <w:rFonts w:hint="default" w:ascii="黑体" w:hAnsi="宋体" w:eastAsia="黑体" w:cs="宋体"/>
          <w:sz w:val="32"/>
          <w:szCs w:val="32"/>
        </w:rPr>
      </w:pPr>
      <w:r>
        <w:rPr>
          <w:rFonts w:ascii="黑体" w:hAnsi="宋体" w:eastAsia="黑体" w:cs="宋体"/>
          <w:sz w:val="32"/>
          <w:szCs w:val="32"/>
        </w:rPr>
        <w:t>第五章 监督管理</w:t>
      </w:r>
    </w:p>
    <w:p>
      <w:pPr>
        <w:pStyle w:val="3"/>
        <w:widowControl/>
        <w:spacing w:line="560" w:lineRule="exact"/>
        <w:ind w:firstLine="658"/>
        <w:outlineLvl w:val="1"/>
        <w:rPr>
          <w:rFonts w:hint="default" w:ascii="仿宋_GB2312" w:hAnsi="宋体" w:eastAsia="仿宋_GB2312" w:cs="宋体"/>
          <w:sz w:val="32"/>
          <w:szCs w:val="32"/>
        </w:rPr>
      </w:pPr>
      <w:r>
        <w:rPr>
          <w:rFonts w:ascii="仿宋_GB2312" w:hAnsi="宋体" w:eastAsia="仿宋_GB2312" w:cs="宋体"/>
          <w:sz w:val="32"/>
          <w:szCs w:val="32"/>
        </w:rPr>
        <w:t>第十五条 有下列情况之一的，撤销已授予的示范基地称号，两年内不得再次申请：</w:t>
      </w:r>
    </w:p>
    <w:p>
      <w:pPr>
        <w:pStyle w:val="3"/>
        <w:widowControl/>
        <w:spacing w:line="560" w:lineRule="exact"/>
        <w:rPr>
          <w:rFonts w:hint="default" w:ascii="仿宋_GB2312" w:hAnsi="宋体" w:eastAsia="仿宋_GB2312" w:cs="宋体"/>
          <w:sz w:val="32"/>
          <w:szCs w:val="32"/>
        </w:rPr>
      </w:pPr>
      <w:r>
        <w:rPr>
          <w:rFonts w:ascii="仿宋_GB2312" w:hAnsi="宋体" w:eastAsia="仿宋_GB2312" w:cs="宋体"/>
          <w:sz w:val="32"/>
          <w:szCs w:val="32"/>
        </w:rPr>
        <w:t xml:space="preserve">    （一）在申请认定和绩效评价中提供虚假材料和数据；</w:t>
      </w:r>
    </w:p>
    <w:p>
      <w:pPr>
        <w:pStyle w:val="3"/>
        <w:widowControl/>
        <w:spacing w:line="560" w:lineRule="exact"/>
        <w:ind w:firstLine="640" w:firstLineChars="200"/>
        <w:rPr>
          <w:rFonts w:hint="default" w:ascii="仿宋_GB2312" w:hAnsi="宋体" w:eastAsia="仿宋_GB2312" w:cs="宋体"/>
          <w:sz w:val="32"/>
          <w:szCs w:val="32"/>
        </w:rPr>
      </w:pPr>
      <w:r>
        <w:rPr>
          <w:rFonts w:ascii="仿宋_GB2312" w:hAnsi="宋体" w:eastAsia="仿宋_GB2312" w:cs="宋体"/>
          <w:sz w:val="32"/>
          <w:szCs w:val="32"/>
        </w:rPr>
        <w:t>（二）单位或法定代表人违反有关法律法规，受到刑事及严重行政处罚；</w:t>
      </w:r>
    </w:p>
    <w:p>
      <w:pPr>
        <w:pStyle w:val="3"/>
        <w:widowControl/>
        <w:spacing w:line="560" w:lineRule="exact"/>
        <w:ind w:firstLine="640" w:firstLineChars="200"/>
        <w:rPr>
          <w:rFonts w:hint="default" w:ascii="仿宋_GB2312" w:hAnsi="宋体" w:eastAsia="仿宋_GB2312" w:cs="宋体"/>
          <w:sz w:val="32"/>
          <w:szCs w:val="32"/>
        </w:rPr>
      </w:pPr>
      <w:r>
        <w:rPr>
          <w:rFonts w:ascii="仿宋_GB2312" w:hAnsi="宋体" w:eastAsia="仿宋_GB2312" w:cs="宋体"/>
          <w:sz w:val="32"/>
          <w:szCs w:val="32"/>
        </w:rPr>
        <w:t>（三）单位或法定代表人存在</w:t>
      </w:r>
      <w:r>
        <w:rPr>
          <w:rFonts w:hint="default" w:ascii="仿宋_GB2312" w:hAnsi="宋体" w:eastAsia="仿宋_GB2312" w:cs="宋体"/>
          <w:sz w:val="32"/>
          <w:szCs w:val="32"/>
        </w:rPr>
        <w:t>司法、行政机关认定的严重失信行为</w:t>
      </w:r>
      <w:r>
        <w:rPr>
          <w:rFonts w:ascii="仿宋_GB2312" w:hAnsi="宋体" w:eastAsia="仿宋_GB2312" w:cs="宋体"/>
          <w:sz w:val="32"/>
          <w:szCs w:val="32"/>
        </w:rPr>
        <w:t>。</w:t>
      </w:r>
    </w:p>
    <w:p>
      <w:pPr>
        <w:pStyle w:val="3"/>
        <w:widowControl/>
        <w:spacing w:line="560" w:lineRule="exact"/>
        <w:ind w:firstLine="640" w:firstLineChars="200"/>
        <w:outlineLvl w:val="1"/>
        <w:rPr>
          <w:rFonts w:hint="default" w:ascii="仿宋_GB2312" w:hAnsi="宋体" w:eastAsia="仿宋_GB2312" w:cs="宋体"/>
          <w:sz w:val="32"/>
          <w:szCs w:val="32"/>
        </w:rPr>
      </w:pPr>
      <w:r>
        <w:rPr>
          <w:rFonts w:ascii="仿宋_GB2312" w:hAnsi="宋体" w:eastAsia="仿宋_GB2312" w:cs="宋体"/>
          <w:sz w:val="32"/>
          <w:szCs w:val="32"/>
        </w:rPr>
        <w:t>第十六条 示范基地应积极与北京市中小企业公共服务平台开展协同服务，接受其业务指导，按期报送运营管理、服务企业、活动组织等相关数据及信息。</w:t>
      </w:r>
    </w:p>
    <w:p>
      <w:pPr>
        <w:pStyle w:val="3"/>
        <w:widowControl/>
        <w:spacing w:line="560" w:lineRule="exact"/>
        <w:ind w:firstLine="658"/>
        <w:outlineLvl w:val="1"/>
        <w:rPr>
          <w:rFonts w:hint="default" w:ascii="仿宋_GB2312" w:hAnsi="宋体" w:eastAsia="仿宋_GB2312" w:cs="宋体"/>
          <w:sz w:val="32"/>
          <w:szCs w:val="32"/>
        </w:rPr>
      </w:pPr>
      <w:r>
        <w:rPr>
          <w:rFonts w:ascii="仿宋_GB2312" w:hAnsi="宋体" w:eastAsia="仿宋_GB2312" w:cs="宋体"/>
          <w:sz w:val="32"/>
          <w:szCs w:val="32"/>
        </w:rPr>
        <w:t>第十七条 示范基地遇有名称、地址、主营业务等重大变更事项的，应在发生变更后30个工作日内报市经济和信息化局备案，市经济和信息化局视情况作出示范基地变更或撤销的处理决定，并向社会公示。</w:t>
      </w:r>
    </w:p>
    <w:p>
      <w:pPr>
        <w:pStyle w:val="3"/>
        <w:widowControl/>
        <w:snapToGrid w:val="0"/>
        <w:spacing w:line="560" w:lineRule="exact"/>
        <w:jc w:val="center"/>
        <w:rPr>
          <w:rFonts w:hint="default" w:ascii="黑体" w:hAnsi="宋体" w:eastAsia="黑体" w:cs="黑体"/>
          <w:sz w:val="32"/>
          <w:szCs w:val="32"/>
        </w:rPr>
      </w:pPr>
    </w:p>
    <w:p>
      <w:pPr>
        <w:pStyle w:val="3"/>
        <w:widowControl/>
        <w:snapToGrid w:val="0"/>
        <w:spacing w:line="560" w:lineRule="exact"/>
        <w:jc w:val="center"/>
        <w:rPr>
          <w:rFonts w:hint="default" w:ascii="黑体" w:hAnsi="宋体" w:eastAsia="黑体" w:cs="黑体"/>
          <w:sz w:val="32"/>
          <w:szCs w:val="32"/>
        </w:rPr>
      </w:pPr>
      <w:r>
        <w:rPr>
          <w:rFonts w:ascii="黑体" w:hAnsi="宋体" w:eastAsia="黑体" w:cs="黑体"/>
          <w:sz w:val="32"/>
          <w:szCs w:val="32"/>
        </w:rPr>
        <w:t>第六章 附则</w:t>
      </w:r>
    </w:p>
    <w:p>
      <w:pPr>
        <w:pStyle w:val="3"/>
        <w:widowControl/>
        <w:snapToGrid w:val="0"/>
        <w:spacing w:line="560" w:lineRule="exact"/>
        <w:ind w:firstLine="640" w:firstLineChars="200"/>
        <w:rPr>
          <w:rFonts w:hint="default" w:ascii="仿宋_GB2312" w:hAnsi="宋体" w:eastAsia="仿宋_GB2312" w:cs="宋体"/>
          <w:sz w:val="32"/>
          <w:szCs w:val="32"/>
        </w:rPr>
      </w:pPr>
      <w:r>
        <w:rPr>
          <w:rFonts w:ascii="仿宋_GB2312" w:hAnsi="宋体" w:eastAsia="仿宋_GB2312" w:cs="宋体"/>
          <w:sz w:val="32"/>
          <w:szCs w:val="32"/>
        </w:rPr>
        <w:t>第十八条 本办法自发布之日起施行,《北京市小型微型企业创业创新示范基地评价管理办法》（京经信委发〔201</w:t>
      </w:r>
      <w:r>
        <w:rPr>
          <w:rFonts w:hint="default" w:ascii="仿宋_GB2312" w:hAnsi="宋体" w:eastAsia="仿宋_GB2312" w:cs="宋体"/>
          <w:sz w:val="32"/>
          <w:szCs w:val="32"/>
        </w:rPr>
        <w:t>9</w:t>
      </w:r>
      <w:r>
        <w:rPr>
          <w:rFonts w:ascii="仿宋_GB2312" w:hAnsi="宋体" w:eastAsia="仿宋_GB2312" w:cs="宋体"/>
          <w:sz w:val="32"/>
          <w:szCs w:val="32"/>
        </w:rPr>
        <w:t>〕</w:t>
      </w:r>
      <w:r>
        <w:rPr>
          <w:rFonts w:hint="default" w:ascii="仿宋_GB2312" w:hAnsi="宋体" w:eastAsia="仿宋_GB2312" w:cs="宋体"/>
          <w:sz w:val="32"/>
          <w:szCs w:val="32"/>
        </w:rPr>
        <w:t>52</w:t>
      </w:r>
      <w:r>
        <w:rPr>
          <w:rFonts w:ascii="仿宋_GB2312" w:hAnsi="宋体" w:eastAsia="仿宋_GB2312" w:cs="宋体"/>
          <w:sz w:val="32"/>
          <w:szCs w:val="32"/>
        </w:rPr>
        <w:t>号）同时废止。已认定示范基地的管理按本办法执行。</w:t>
      </w:r>
    </w:p>
    <w:p>
      <w:pPr>
        <w:pStyle w:val="3"/>
        <w:widowControl/>
        <w:snapToGrid w:val="0"/>
        <w:spacing w:line="560" w:lineRule="exact"/>
        <w:ind w:firstLine="640" w:firstLineChars="200"/>
        <w:rPr>
          <w:rFonts w:hint="default" w:ascii="仿宋_GB2312" w:hAnsi="宋体" w:eastAsia="仿宋_GB2312" w:cs="宋体"/>
          <w:sz w:val="32"/>
          <w:szCs w:val="32"/>
        </w:rPr>
      </w:pPr>
      <w:r>
        <w:rPr>
          <w:rFonts w:ascii="仿宋_GB2312" w:hAnsi="宋体" w:eastAsia="仿宋_GB2312" w:cs="宋体"/>
          <w:sz w:val="32"/>
          <w:szCs w:val="32"/>
        </w:rPr>
        <w:t>第十九条 本办法由市经济和信息化局负责解释。</w:t>
      </w:r>
    </w:p>
    <w:sectPr>
      <w:footerReference r:id="rId4" w:type="default"/>
      <w:pgSz w:w="11906" w:h="16838"/>
      <w:pgMar w:top="1440" w:right="1474" w:bottom="1440"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DejaVu Sans">
    <w:altName w:val="Arial"/>
    <w:panose1 w:val="00000000000000000000"/>
    <w:charset w:val="00"/>
    <w:family w:val="roman"/>
    <w:pitch w:val="default"/>
    <w:sig w:usb0="00000000" w:usb1="00000000" w:usb2="0A246029" w:usb3="0400200C" w:csb0="600001FF" w:csb1="DFFF0000"/>
  </w:font>
  <w:font w:name="方正小标宋简体">
    <w:altName w:val="微软雅黑"/>
    <w:panose1 w:val="02010601030101010101"/>
    <w:charset w:val="86"/>
    <w:family w:val="auto"/>
    <w:pitch w:val="default"/>
    <w:sig w:usb0="00000000" w:usb1="00000000" w:usb2="00000010" w:usb3="00000000" w:csb0="00040000" w:csb1="00000000"/>
  </w:font>
  <w:font w:name="方正小标宋_GBK">
    <w:altName w:val="Malgun Gothic Semilight"/>
    <w:panose1 w:val="00000000000000000000"/>
    <w:charset w:val="86"/>
    <w:family w:val="script"/>
    <w:pitch w:val="default"/>
    <w:sig w:usb0="00000000" w:usb1="00000000" w:usb2="00000000" w:usb3="00000000" w:csb0="00040000" w:csb1="00000000"/>
  </w:font>
  <w:font w:name="楷体_GB2312">
    <w:altName w:val="楷体"/>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Malgun Gothic Semilight">
    <w:panose1 w:val="020B0502040204020203"/>
    <w:charset w:val="86"/>
    <w:family w:val="auto"/>
    <w:pitch w:val="default"/>
    <w:sig w:usb0="900002AF" w:usb1="01D77CFB" w:usb2="00000012" w:usb3="00000000" w:csb0="203E01BD" w:csb1="D7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2</w:t>
    </w:r>
    <w:r>
      <w:rPr>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pPr>
        <w:pStyle w:val="7"/>
        <w:rPr>
          <w:sz w:val="24"/>
          <w:szCs w:val="24"/>
        </w:rPr>
      </w:pPr>
      <w:r>
        <w:rPr>
          <w:rStyle w:val="13"/>
          <w:sz w:val="24"/>
          <w:szCs w:val="24"/>
        </w:rPr>
        <w:footnoteRef/>
      </w:r>
      <w:r>
        <w:rPr>
          <w:sz w:val="24"/>
          <w:szCs w:val="24"/>
        </w:rPr>
        <w:t xml:space="preserve"> </w:t>
      </w:r>
      <w:r>
        <w:rPr>
          <w:rFonts w:ascii="仿宋_GB2312" w:hAnsi="宋体" w:eastAsia="仿宋_GB2312" w:cs="宋体"/>
          <w:sz w:val="24"/>
          <w:szCs w:val="24"/>
        </w:rPr>
        <w:t>企业集聚度</w:t>
      </w:r>
      <w:r>
        <w:rPr>
          <w:rFonts w:hint="eastAsia" w:ascii="仿宋_GB2312" w:hAnsi="宋体" w:eastAsia="仿宋_GB2312" w:cs="宋体"/>
          <w:sz w:val="24"/>
          <w:szCs w:val="24"/>
        </w:rPr>
        <w:t>指基地内</w:t>
      </w:r>
      <w:r>
        <w:rPr>
          <w:rFonts w:ascii="仿宋_GB2312" w:hAnsi="宋体" w:eastAsia="仿宋_GB2312" w:cs="宋体"/>
          <w:sz w:val="24"/>
          <w:szCs w:val="24"/>
        </w:rPr>
        <w:t>属于主导产业的</w:t>
      </w:r>
      <w:r>
        <w:rPr>
          <w:rFonts w:hint="eastAsia" w:ascii="仿宋_GB2312" w:hAnsi="宋体" w:eastAsia="仿宋_GB2312" w:cs="宋体"/>
          <w:sz w:val="24"/>
          <w:szCs w:val="24"/>
        </w:rPr>
        <w:t>入驻</w:t>
      </w:r>
      <w:r>
        <w:rPr>
          <w:rFonts w:ascii="仿宋_GB2312" w:hAnsi="宋体" w:eastAsia="仿宋_GB2312" w:cs="宋体"/>
          <w:sz w:val="24"/>
          <w:szCs w:val="24"/>
        </w:rPr>
        <w:t>企业家数与入驻企业总数之比</w:t>
      </w:r>
      <w:r>
        <w:rPr>
          <w:rFonts w:hint="eastAsia" w:ascii="仿宋_GB2312" w:hAnsi="宋体" w:eastAsia="仿宋_GB2312" w:cs="宋体"/>
          <w:sz w:val="24"/>
          <w:szCs w:val="24"/>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2"/>
    <w:footnote w:id="3"/>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NlZGFlZDNlMjRlNGEzMmM1NWJlY2RiMWRhYTFkNGMifQ=="/>
  </w:docVars>
  <w:rsids>
    <w:rsidRoot w:val="00AC5707"/>
    <w:rsid w:val="00094FB3"/>
    <w:rsid w:val="00143267"/>
    <w:rsid w:val="001674A4"/>
    <w:rsid w:val="00174ABE"/>
    <w:rsid w:val="001F65B1"/>
    <w:rsid w:val="00337EC9"/>
    <w:rsid w:val="0036175C"/>
    <w:rsid w:val="003A1203"/>
    <w:rsid w:val="003B5EF4"/>
    <w:rsid w:val="004538A7"/>
    <w:rsid w:val="004C2F52"/>
    <w:rsid w:val="004E3626"/>
    <w:rsid w:val="004E40E7"/>
    <w:rsid w:val="006230FD"/>
    <w:rsid w:val="00624CB1"/>
    <w:rsid w:val="00653025"/>
    <w:rsid w:val="006B6EAD"/>
    <w:rsid w:val="006C1A17"/>
    <w:rsid w:val="007351CD"/>
    <w:rsid w:val="00757DD1"/>
    <w:rsid w:val="00822079"/>
    <w:rsid w:val="009E401F"/>
    <w:rsid w:val="00AC5707"/>
    <w:rsid w:val="00AC65F5"/>
    <w:rsid w:val="00AE3A39"/>
    <w:rsid w:val="00B054A2"/>
    <w:rsid w:val="00BE21EB"/>
    <w:rsid w:val="00C53B3F"/>
    <w:rsid w:val="00CA1F97"/>
    <w:rsid w:val="00DA0D1A"/>
    <w:rsid w:val="00E36342"/>
    <w:rsid w:val="00EA2B00"/>
    <w:rsid w:val="00EA7435"/>
    <w:rsid w:val="05FF5AED"/>
    <w:rsid w:val="0EFEC25E"/>
    <w:rsid w:val="0F7572E6"/>
    <w:rsid w:val="0F9FDB46"/>
    <w:rsid w:val="0FFF1475"/>
    <w:rsid w:val="1AFA32CF"/>
    <w:rsid w:val="1AFF2073"/>
    <w:rsid w:val="1CEBF97F"/>
    <w:rsid w:val="1EFF9B46"/>
    <w:rsid w:val="1F4FA58C"/>
    <w:rsid w:val="1FBC840C"/>
    <w:rsid w:val="21136EDB"/>
    <w:rsid w:val="2BFFBF77"/>
    <w:rsid w:val="2CE375C8"/>
    <w:rsid w:val="2FBD4BB6"/>
    <w:rsid w:val="30AFC963"/>
    <w:rsid w:val="37A886F6"/>
    <w:rsid w:val="37DFAD2C"/>
    <w:rsid w:val="38ED9280"/>
    <w:rsid w:val="3BDD898F"/>
    <w:rsid w:val="3D0D3C55"/>
    <w:rsid w:val="3DD689A1"/>
    <w:rsid w:val="3DFE7118"/>
    <w:rsid w:val="3DFF2114"/>
    <w:rsid w:val="3F6B5B32"/>
    <w:rsid w:val="3FB525E8"/>
    <w:rsid w:val="3FF0A4C7"/>
    <w:rsid w:val="3FFBC3E3"/>
    <w:rsid w:val="3FFD076C"/>
    <w:rsid w:val="479FD0F0"/>
    <w:rsid w:val="47B67D08"/>
    <w:rsid w:val="483FB808"/>
    <w:rsid w:val="4C5079A7"/>
    <w:rsid w:val="4F7F32A6"/>
    <w:rsid w:val="51FEC865"/>
    <w:rsid w:val="565D6A9B"/>
    <w:rsid w:val="5A6F87E3"/>
    <w:rsid w:val="5B8CD3B0"/>
    <w:rsid w:val="5B9F6134"/>
    <w:rsid w:val="5BAFCB08"/>
    <w:rsid w:val="5BBE93F1"/>
    <w:rsid w:val="5BE370C2"/>
    <w:rsid w:val="5CF71CAB"/>
    <w:rsid w:val="5D3B4490"/>
    <w:rsid w:val="5DFF942F"/>
    <w:rsid w:val="5F9D4304"/>
    <w:rsid w:val="5FEE2628"/>
    <w:rsid w:val="5FF344B1"/>
    <w:rsid w:val="5FF6E27D"/>
    <w:rsid w:val="6294694F"/>
    <w:rsid w:val="63AE4C84"/>
    <w:rsid w:val="63FF72D3"/>
    <w:rsid w:val="657F2619"/>
    <w:rsid w:val="678A4A2F"/>
    <w:rsid w:val="68B951AE"/>
    <w:rsid w:val="69FF4731"/>
    <w:rsid w:val="6B7D33E1"/>
    <w:rsid w:val="6D7DDE51"/>
    <w:rsid w:val="6DFFB5CF"/>
    <w:rsid w:val="6E7DE97E"/>
    <w:rsid w:val="6EF679A5"/>
    <w:rsid w:val="6F8FCE55"/>
    <w:rsid w:val="6FA6EA73"/>
    <w:rsid w:val="6FF6B6F5"/>
    <w:rsid w:val="6FFEAA03"/>
    <w:rsid w:val="6FFF7DF2"/>
    <w:rsid w:val="70689E2D"/>
    <w:rsid w:val="7563C4CD"/>
    <w:rsid w:val="75729C83"/>
    <w:rsid w:val="75B92EA7"/>
    <w:rsid w:val="75D81AFC"/>
    <w:rsid w:val="76CEC493"/>
    <w:rsid w:val="76DAFA03"/>
    <w:rsid w:val="76FFB093"/>
    <w:rsid w:val="77693AA3"/>
    <w:rsid w:val="77D932C6"/>
    <w:rsid w:val="77EA90CE"/>
    <w:rsid w:val="77EB0EBA"/>
    <w:rsid w:val="77FAE02B"/>
    <w:rsid w:val="77FBF444"/>
    <w:rsid w:val="77FE2D40"/>
    <w:rsid w:val="793BFC7F"/>
    <w:rsid w:val="799FA9A6"/>
    <w:rsid w:val="79B750D1"/>
    <w:rsid w:val="7AA49410"/>
    <w:rsid w:val="7B972C28"/>
    <w:rsid w:val="7B9E3A7B"/>
    <w:rsid w:val="7BDF3260"/>
    <w:rsid w:val="7BE6A92D"/>
    <w:rsid w:val="7BF7571E"/>
    <w:rsid w:val="7CE9BC80"/>
    <w:rsid w:val="7CFF3872"/>
    <w:rsid w:val="7D6A6E24"/>
    <w:rsid w:val="7DAF65E2"/>
    <w:rsid w:val="7DF776DC"/>
    <w:rsid w:val="7E5D58E4"/>
    <w:rsid w:val="7E6DC968"/>
    <w:rsid w:val="7E6FDDE1"/>
    <w:rsid w:val="7E8BAF9D"/>
    <w:rsid w:val="7EBBDC6D"/>
    <w:rsid w:val="7ECBC9B6"/>
    <w:rsid w:val="7ED5FCA1"/>
    <w:rsid w:val="7EFD996C"/>
    <w:rsid w:val="7EFF60D3"/>
    <w:rsid w:val="7EFFA8CA"/>
    <w:rsid w:val="7F3F5521"/>
    <w:rsid w:val="7F6FDBC3"/>
    <w:rsid w:val="7F9D7B9C"/>
    <w:rsid w:val="7FA9C911"/>
    <w:rsid w:val="7FB8B017"/>
    <w:rsid w:val="7FBFFB5A"/>
    <w:rsid w:val="7FDB5E15"/>
    <w:rsid w:val="7FE55BBD"/>
    <w:rsid w:val="7FE7A4DF"/>
    <w:rsid w:val="7FEBACC1"/>
    <w:rsid w:val="7FEDA8A9"/>
    <w:rsid w:val="7FEEA565"/>
    <w:rsid w:val="7FF74212"/>
    <w:rsid w:val="7FFEF49F"/>
    <w:rsid w:val="7FFF99F9"/>
    <w:rsid w:val="7FFF9DA9"/>
    <w:rsid w:val="8CCF7375"/>
    <w:rsid w:val="975F9284"/>
    <w:rsid w:val="97BD739C"/>
    <w:rsid w:val="99FF2B4D"/>
    <w:rsid w:val="9BF9A5B9"/>
    <w:rsid w:val="9FDD8BF8"/>
    <w:rsid w:val="A6FFE2B0"/>
    <w:rsid w:val="A7F5321B"/>
    <w:rsid w:val="ABE754A9"/>
    <w:rsid w:val="AEE30AFC"/>
    <w:rsid w:val="AFAE10EA"/>
    <w:rsid w:val="AFB93173"/>
    <w:rsid w:val="AFFFE05B"/>
    <w:rsid w:val="B0EF4029"/>
    <w:rsid w:val="B5DF42C0"/>
    <w:rsid w:val="B6AF18C1"/>
    <w:rsid w:val="B6CB2726"/>
    <w:rsid w:val="B6FBE176"/>
    <w:rsid w:val="BBB758B5"/>
    <w:rsid w:val="BBFD7510"/>
    <w:rsid w:val="BBFF8306"/>
    <w:rsid w:val="BCFDEF57"/>
    <w:rsid w:val="BD171A48"/>
    <w:rsid w:val="BDAF9884"/>
    <w:rsid w:val="BDC9D0FF"/>
    <w:rsid w:val="BEBD4CE5"/>
    <w:rsid w:val="BFBF24B6"/>
    <w:rsid w:val="BFF4DFE1"/>
    <w:rsid w:val="BFF759B1"/>
    <w:rsid w:val="CD97589B"/>
    <w:rsid w:val="CE7FDE14"/>
    <w:rsid w:val="CFE77F66"/>
    <w:rsid w:val="D1FFE6D9"/>
    <w:rsid w:val="D37F356C"/>
    <w:rsid w:val="D4DEB66A"/>
    <w:rsid w:val="D6B7FD9E"/>
    <w:rsid w:val="D7BF7736"/>
    <w:rsid w:val="DDEAC322"/>
    <w:rsid w:val="DDFD21FC"/>
    <w:rsid w:val="DDFD7C10"/>
    <w:rsid w:val="DEFEFF23"/>
    <w:rsid w:val="DEFF1BED"/>
    <w:rsid w:val="DF5FF78A"/>
    <w:rsid w:val="DF7FA462"/>
    <w:rsid w:val="DFEAAB73"/>
    <w:rsid w:val="DFFB020B"/>
    <w:rsid w:val="DFFB0EF9"/>
    <w:rsid w:val="E5B9A58F"/>
    <w:rsid w:val="E7DF5DF2"/>
    <w:rsid w:val="E7F6E77B"/>
    <w:rsid w:val="E7FB7FF3"/>
    <w:rsid w:val="E8EFD342"/>
    <w:rsid w:val="E9BF5C77"/>
    <w:rsid w:val="E9FEC0CB"/>
    <w:rsid w:val="EBFB33FA"/>
    <w:rsid w:val="EBFC3647"/>
    <w:rsid w:val="ECD7E9C8"/>
    <w:rsid w:val="ED8ECDA2"/>
    <w:rsid w:val="EDFA9664"/>
    <w:rsid w:val="EF79D9B1"/>
    <w:rsid w:val="EFBB7B5E"/>
    <w:rsid w:val="EFDFAB2D"/>
    <w:rsid w:val="EFEFD1B9"/>
    <w:rsid w:val="F03E1773"/>
    <w:rsid w:val="F0BF9B60"/>
    <w:rsid w:val="F2B9DC9D"/>
    <w:rsid w:val="F31ECCC2"/>
    <w:rsid w:val="F3F413D2"/>
    <w:rsid w:val="F5E6216B"/>
    <w:rsid w:val="F5EE1F43"/>
    <w:rsid w:val="F5F7E6AB"/>
    <w:rsid w:val="F75F3959"/>
    <w:rsid w:val="F7BE2811"/>
    <w:rsid w:val="F7CF88EF"/>
    <w:rsid w:val="F7EF1115"/>
    <w:rsid w:val="F7F2C706"/>
    <w:rsid w:val="F7FFC797"/>
    <w:rsid w:val="F9F96FEC"/>
    <w:rsid w:val="FAEFC6BB"/>
    <w:rsid w:val="FAFFB73D"/>
    <w:rsid w:val="FB5F28FF"/>
    <w:rsid w:val="FBFFEA02"/>
    <w:rsid w:val="FCFB8423"/>
    <w:rsid w:val="FDAB6125"/>
    <w:rsid w:val="FDB4C0A7"/>
    <w:rsid w:val="FDD116C3"/>
    <w:rsid w:val="FDFA3598"/>
    <w:rsid w:val="FDFB5A11"/>
    <w:rsid w:val="FDFE7336"/>
    <w:rsid w:val="FE7D3EEC"/>
    <w:rsid w:val="FE7D5228"/>
    <w:rsid w:val="FEE75BC5"/>
    <w:rsid w:val="FEF7C780"/>
    <w:rsid w:val="FF2F9325"/>
    <w:rsid w:val="FF540BAC"/>
    <w:rsid w:val="FF5B97AC"/>
    <w:rsid w:val="FF77832D"/>
    <w:rsid w:val="FF9F49B6"/>
    <w:rsid w:val="FFADF8EB"/>
    <w:rsid w:val="FFAF9EA5"/>
    <w:rsid w:val="FFB3D762"/>
    <w:rsid w:val="FFB74DC4"/>
    <w:rsid w:val="FFBD2F35"/>
    <w:rsid w:val="FFBF45B0"/>
    <w:rsid w:val="FFDCD06E"/>
    <w:rsid w:val="FFE3A3C6"/>
    <w:rsid w:val="FFEE3F59"/>
    <w:rsid w:val="FFEFA65E"/>
    <w:rsid w:val="FFFB2FEA"/>
    <w:rsid w:val="FFFD5C08"/>
    <w:rsid w:val="FFFF0BDC"/>
    <w:rsid w:val="FFFF9604"/>
    <w:rsid w:val="FFFFB6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9"/>
    <w:qFormat/>
    <w:uiPriority w:val="0"/>
    <w:pPr>
      <w:jc w:val="left"/>
    </w:pPr>
  </w:style>
  <w:style w:type="paragraph" w:styleId="3">
    <w:name w:val="Plain Text"/>
    <w:basedOn w:val="1"/>
    <w:link w:val="15"/>
    <w:qFormat/>
    <w:uiPriority w:val="0"/>
    <w:rPr>
      <w:rFonts w:hint="eastAsia" w:ascii="宋体" w:hAnsi="Courier New" w:cs="Courier New"/>
      <w:szCs w:val="21"/>
    </w:rPr>
  </w:style>
  <w:style w:type="paragraph" w:styleId="4">
    <w:name w:val="Balloon Text"/>
    <w:basedOn w:val="1"/>
    <w:link w:val="16"/>
    <w:qFormat/>
    <w:uiPriority w:val="99"/>
    <w:rPr>
      <w:rFonts w:ascii="Calibri" w:hAnsi="Calibri" w:eastAsia="仿宋_GB2312" w:cs="Calibri"/>
      <w:spacing w:val="-6"/>
      <w:sz w:val="18"/>
      <w:szCs w:val="18"/>
    </w:rPr>
  </w:style>
  <w:style w:type="paragraph" w:styleId="5">
    <w:name w:val="footer"/>
    <w:basedOn w:val="1"/>
    <w:link w:val="17"/>
    <w:qFormat/>
    <w:uiPriority w:val="99"/>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DejaVu Sans" w:hAnsi="DejaVu Sans"/>
      <w:sz w:val="18"/>
    </w:rPr>
  </w:style>
  <w:style w:type="paragraph" w:styleId="7">
    <w:name w:val="footnote text"/>
    <w:basedOn w:val="1"/>
    <w:link w:val="21"/>
    <w:qFormat/>
    <w:uiPriority w:val="0"/>
    <w:pPr>
      <w:snapToGrid w:val="0"/>
      <w:jc w:val="left"/>
    </w:pPr>
    <w:rPr>
      <w:sz w:val="18"/>
      <w:szCs w:val="18"/>
    </w:rPr>
  </w:style>
  <w:style w:type="paragraph" w:styleId="8">
    <w:name w:val="HTML Preformatted"/>
    <w:basedOn w:val="1"/>
    <w:link w:val="14"/>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9">
    <w:name w:val="annotation subject"/>
    <w:basedOn w:val="2"/>
    <w:next w:val="2"/>
    <w:link w:val="20"/>
    <w:qFormat/>
    <w:uiPriority w:val="0"/>
    <w:rPr>
      <w:b/>
      <w:bCs/>
    </w:rPr>
  </w:style>
  <w:style w:type="character" w:styleId="12">
    <w:name w:val="annotation reference"/>
    <w:basedOn w:val="11"/>
    <w:qFormat/>
    <w:uiPriority w:val="0"/>
    <w:rPr>
      <w:sz w:val="21"/>
      <w:szCs w:val="21"/>
    </w:rPr>
  </w:style>
  <w:style w:type="character" w:styleId="13">
    <w:name w:val="footnote reference"/>
    <w:basedOn w:val="11"/>
    <w:qFormat/>
    <w:uiPriority w:val="0"/>
    <w:rPr>
      <w:vertAlign w:val="superscript"/>
    </w:rPr>
  </w:style>
  <w:style w:type="character" w:customStyle="1" w:styleId="14">
    <w:name w:val="HTML 预设格式 字符"/>
    <w:basedOn w:val="11"/>
    <w:link w:val="8"/>
    <w:qFormat/>
    <w:uiPriority w:val="0"/>
    <w:rPr>
      <w:rFonts w:ascii="宋体" w:hAnsi="宋体"/>
      <w:sz w:val="24"/>
      <w:szCs w:val="24"/>
    </w:rPr>
  </w:style>
  <w:style w:type="character" w:customStyle="1" w:styleId="15">
    <w:name w:val="纯文本 字符"/>
    <w:basedOn w:val="11"/>
    <w:link w:val="3"/>
    <w:qFormat/>
    <w:uiPriority w:val="0"/>
    <w:rPr>
      <w:rFonts w:ascii="宋体" w:hAnsi="Courier New" w:cs="Courier New"/>
      <w:kern w:val="2"/>
      <w:sz w:val="21"/>
      <w:szCs w:val="21"/>
    </w:rPr>
  </w:style>
  <w:style w:type="character" w:customStyle="1" w:styleId="16">
    <w:name w:val="批注框文本 字符"/>
    <w:basedOn w:val="11"/>
    <w:link w:val="4"/>
    <w:qFormat/>
    <w:uiPriority w:val="99"/>
    <w:rPr>
      <w:rFonts w:ascii="Calibri" w:hAnsi="Calibri" w:eastAsia="仿宋_GB2312" w:cs="Calibri"/>
      <w:spacing w:val="-6"/>
      <w:kern w:val="2"/>
      <w:sz w:val="18"/>
      <w:szCs w:val="18"/>
    </w:rPr>
  </w:style>
  <w:style w:type="character" w:customStyle="1" w:styleId="17">
    <w:name w:val="页脚 字符"/>
    <w:basedOn w:val="11"/>
    <w:link w:val="5"/>
    <w:qFormat/>
    <w:uiPriority w:val="99"/>
    <w:rPr>
      <w:kern w:val="2"/>
      <w:sz w:val="18"/>
      <w:szCs w:val="24"/>
    </w:rPr>
  </w:style>
  <w:style w:type="paragraph" w:customStyle="1" w:styleId="18">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19">
    <w:name w:val="批注文字 字符"/>
    <w:basedOn w:val="11"/>
    <w:link w:val="2"/>
    <w:qFormat/>
    <w:uiPriority w:val="0"/>
    <w:rPr>
      <w:kern w:val="2"/>
      <w:sz w:val="21"/>
      <w:szCs w:val="24"/>
    </w:rPr>
  </w:style>
  <w:style w:type="character" w:customStyle="1" w:styleId="20">
    <w:name w:val="批注主题 字符"/>
    <w:basedOn w:val="19"/>
    <w:link w:val="9"/>
    <w:qFormat/>
    <w:uiPriority w:val="0"/>
    <w:rPr>
      <w:b/>
      <w:bCs/>
      <w:kern w:val="2"/>
      <w:sz w:val="21"/>
      <w:szCs w:val="24"/>
    </w:rPr>
  </w:style>
  <w:style w:type="character" w:customStyle="1" w:styleId="21">
    <w:name w:val="脚注文本 字符"/>
    <w:basedOn w:val="11"/>
    <w:link w:val="7"/>
    <w:qFormat/>
    <w:uiPriority w:val="0"/>
    <w:rPr>
      <w:kern w:val="2"/>
      <w:sz w:val="18"/>
      <w:szCs w:val="18"/>
    </w:rPr>
  </w:style>
  <w:style w:type="paragraph" w:customStyle="1" w:styleId="22">
    <w:name w:val="修订2"/>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2695</Words>
  <Characters>2713</Characters>
  <Lines>19</Lines>
  <Paragraphs>5</Paragraphs>
  <TotalTime>1</TotalTime>
  <ScaleCrop>false</ScaleCrop>
  <LinksUpToDate>false</LinksUpToDate>
  <CharactersWithSpaces>2752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2022-05-20T02:30:00Z</dcterms:created>
  <dc:creator>admin</dc:creator>
  <cp:lastModifiedBy>玖朗</cp:lastModifiedBy>
  <dcterms:modified xsi:type="dcterms:W3CDTF">2023-03-07T00:37:18Z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7F0BFC9B29DC46ABAA941BB365A3BDF0</vt:lpwstr>
  </property>
</Properties>
</file>