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29166">
      <w:pPr>
        <w:widowControl w:val="0"/>
        <w:bidi w:val="0"/>
        <w:spacing w:line="560" w:lineRule="exact"/>
        <w:ind w:left="0" w:leftChars="0" w:firstLine="0" w:firstLineChars="0"/>
        <w:jc w:val="both"/>
        <w:outlineLvl w:val="0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</w:t>
      </w:r>
    </w:p>
    <w:p w14:paraId="05615A3A">
      <w:pPr>
        <w:widowControl w:val="0"/>
        <w:bidi w:val="0"/>
        <w:spacing w:line="560" w:lineRule="exact"/>
        <w:ind w:firstLine="0" w:firstLineChars="0"/>
        <w:jc w:val="center"/>
        <w:outlineLvl w:val="0"/>
        <w:rPr>
          <w:rFonts w:hint="eastAsia"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</w:pPr>
    </w:p>
    <w:p w14:paraId="2FF3F77F">
      <w:pPr>
        <w:widowControl w:val="0"/>
        <w:bidi w:val="0"/>
        <w:spacing w:line="560" w:lineRule="exact"/>
        <w:ind w:firstLine="0" w:firstLineChars="0"/>
        <w:jc w:val="center"/>
        <w:outlineLvl w:val="0"/>
        <w:rPr>
          <w:rFonts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  <w:t>模型券奖励政策申报说明</w:t>
      </w:r>
    </w:p>
    <w:p w14:paraId="11433574">
      <w:pPr>
        <w:widowControl w:val="0"/>
        <w:ind w:firstLine="632" w:firstLineChars="200"/>
        <w:jc w:val="both"/>
        <w:rPr>
          <w:rFonts w:ascii="Times New Roman" w:hAnsi="Times New Roman" w:eastAsia="仿宋" w:cs="Times New Roman"/>
          <w:kern w:val="2"/>
          <w:sz w:val="32"/>
          <w:szCs w:val="22"/>
          <w:lang w:val="en-US" w:eastAsia="zh-CN" w:bidi="ar-SA"/>
        </w:rPr>
      </w:pPr>
    </w:p>
    <w:p w14:paraId="4EBDC4EE">
      <w:pPr>
        <w:widowControl w:val="0"/>
        <w:bidi w:val="0"/>
        <w:spacing w:line="560" w:lineRule="exact"/>
        <w:ind w:firstLine="632" w:firstLineChars="200"/>
        <w:jc w:val="both"/>
        <w:outlineLvl w:val="1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一、申报条件</w:t>
      </w:r>
    </w:p>
    <w:p w14:paraId="463732F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1.具备独立法人资格且在北京市注册的软件信息服务业、制造业、科技服务业企业以及学校、医院机构。</w:t>
      </w:r>
    </w:p>
    <w:p w14:paraId="6462BE4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2.符合《北京市“十四五”时期高精尖产业发展规划》所支持的人工智能产业发展方向。</w:t>
      </w:r>
    </w:p>
    <w:p w14:paraId="21C97D2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3.申报单位应在</w:t>
      </w:r>
      <w:r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4年9月</w:t>
      </w:r>
      <w:r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至申报之日内，基于API调用或模型私有化部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署方式，使用第三方大模型开展《北京市推动“人工智能+”行动计划（2024-2025年）》所明确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highlight w:val="none"/>
          <w:lang w:val="en-US" w:eastAsia="zh-CN" w:bidi="ar-SA"/>
        </w:rPr>
        <w:t>的教育、医疗、文化、交通、政务、工业、金融、营销、司法、传媒、能源、影视、游戏、园林绿化等细分行业场景的大模型应用。</w:t>
      </w:r>
    </w:p>
    <w:p w14:paraId="279EA78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4.申报单位相关大模型应用未获得其他市级财政资金支持。</w:t>
      </w:r>
    </w:p>
    <w:p w14:paraId="4DA30AD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5.申报单位应使用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2"/>
          <w:kern w:val="0"/>
          <w:sz w:val="32"/>
          <w:szCs w:val="32"/>
          <w:highlight w:val="none"/>
          <w:lang w:val="en-US" w:eastAsia="zh-CN" w:bidi="ar-SA"/>
        </w:rPr>
        <w:t>第三方大模型产品，与大模型服务提供方为非关联企业，或不存在直接或间接的控制关系或重大影响关系。</w:t>
      </w:r>
    </w:p>
    <w:p w14:paraId="5E0129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6.申报单位使用的大模型产品应经中央网信办备案。</w:t>
      </w:r>
    </w:p>
    <w:p w14:paraId="3CA7504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  <w:t>7.申报调用第三方大模型API模型券奖励的应用项目，单个大模型API服务使用金额应不低于10万元。</w:t>
      </w:r>
    </w:p>
    <w:p w14:paraId="6D9E5AB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  <w:t>8.申报采用第三方大模型私有化部署模型券奖励的应用项目，大模型采购金额应不低于50万元。</w:t>
      </w:r>
    </w:p>
    <w:p w14:paraId="78B2762E">
      <w:pPr>
        <w:widowControl w:val="0"/>
        <w:bidi w:val="0"/>
        <w:spacing w:line="560" w:lineRule="exact"/>
        <w:ind w:firstLine="632" w:firstLineChars="200"/>
        <w:jc w:val="both"/>
        <w:outlineLvl w:val="1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二、支持内容、方式和标准</w:t>
      </w:r>
    </w:p>
    <w:p w14:paraId="1B595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80" w:firstLineChars="200"/>
        <w:textAlignment w:val="auto"/>
        <w:rPr>
          <w:rFonts w:hint="default" w:ascii="仿宋_GB2312" w:hAnsi="宋体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2"/>
          <w:kern w:val="0"/>
          <w:sz w:val="32"/>
          <w:szCs w:val="32"/>
          <w:highlight w:val="none"/>
          <w:lang w:val="en-US" w:eastAsia="zh-CN" w:bidi="ar-SA"/>
        </w:rPr>
        <w:t>对面向教育、医疗、文化、交通、政务、工业、金融、营销、司法、传媒、能源、影视、游戏、园林绿化等行业细分应用场景</w:t>
      </w:r>
      <w:r>
        <w:rPr>
          <w:rFonts w:hint="eastAsia" w:ascii="Times New Roman" w:hAnsi="Times New Roman" w:eastAsia="仿宋" w:cs="仿宋_GB2312"/>
          <w:sz w:val="32"/>
          <w:szCs w:val="32"/>
          <w:lang w:val="en-US" w:eastAsia="zh-CN" w:bidi="ar"/>
        </w:rPr>
        <w:t>的大模型应用项目开展模型券奖励</w:t>
      </w:r>
      <w:r>
        <w:rPr>
          <w:rFonts w:hint="default" w:ascii="仿宋_GB2312" w:hAnsi="宋体" w:eastAsia="仿宋_GB2312" w:cs="Times New Roman"/>
          <w:sz w:val="32"/>
          <w:szCs w:val="32"/>
          <w:highlight w:val="none"/>
          <w:lang w:val="en-US" w:eastAsia="zh-CN"/>
        </w:rPr>
        <w:t>。</w:t>
      </w:r>
    </w:p>
    <w:p w14:paraId="4C8AF36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line="560" w:lineRule="exact"/>
        <w:ind w:firstLine="680" w:firstLineChars="200"/>
        <w:jc w:val="both"/>
        <w:textAlignment w:val="baseline"/>
        <w:rPr>
          <w:rFonts w:hint="default" w:ascii="仿宋_GB2312" w:hAnsi="仿宋_GB2312" w:eastAsia="仿宋_GB2312" w:cs="仿宋_GB2312"/>
          <w:snapToGrid w:val="0"/>
          <w:color w:val="000000"/>
          <w:spacing w:val="12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12"/>
          <w:kern w:val="0"/>
          <w:sz w:val="32"/>
          <w:szCs w:val="32"/>
          <w:highlight w:val="none"/>
          <w:lang w:val="en-US" w:eastAsia="zh-CN" w:bidi="ar-SA"/>
        </w:rPr>
        <w:t>1.对于调用第三方大模型API的应用项目，按照不超过单个大模型API服务使用金额50%进行阶梯式奖励，单个项目可同时调用多款大模型API服务，单个项目累计获得的奖励金额不超过500万元。</w:t>
      </w:r>
    </w:p>
    <w:p w14:paraId="4591084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line="560" w:lineRule="exact"/>
        <w:ind w:firstLine="632" w:firstLineChars="200"/>
        <w:jc w:val="both"/>
        <w:textAlignment w:val="baseline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2.对于采用第三方大模型私有化部署的人工智能应用类项目，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按照不超过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大模型采购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金额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（不含算力、数据等其他费用）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20%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shd w:val="clear"/>
          <w:lang w:val="en-US" w:eastAsia="zh-CN" w:bidi="ar-SA"/>
        </w:rPr>
        <w:t>进行阶梯式比例奖励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单个项目年度奖励金额最高不超过500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万元。</w:t>
      </w:r>
    </w:p>
    <w:p w14:paraId="39D59B4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企业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可同时申请API调用和私有化部署两种方式的人工智能应用类项目资金奖励，单一企业每个自然年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本政策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累计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享受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奖励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总金额不超过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00万元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 w14:paraId="773B007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shd w:val="clear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shd w:val="clear"/>
          <w:lang w:val="en-US" w:eastAsia="zh-CN" w:bidi="ar-SA"/>
        </w:rPr>
        <w:t>.阶梯式比例奖励如下：</w:t>
      </w:r>
    </w:p>
    <w:p w14:paraId="7CBC7CD7">
      <w:pPr>
        <w:pStyle w:val="2"/>
        <w:rPr>
          <w:rFonts w:hint="eastAsia" w:ascii="仿宋_GB2312" w:hAnsi="仿宋_GB2312" w:eastAsia="仿宋_GB2312" w:cs="仿宋_GB2312"/>
          <w:kern w:val="2"/>
          <w:sz w:val="32"/>
          <w:szCs w:val="32"/>
          <w:shd w:val="clear"/>
          <w:lang w:val="en-US" w:eastAsia="zh-CN" w:bidi="ar-SA"/>
        </w:rPr>
      </w:pPr>
    </w:p>
    <w:p w14:paraId="1B78732C">
      <w:pPr>
        <w:pStyle w:val="2"/>
        <w:rPr>
          <w:rFonts w:hint="eastAsia" w:ascii="仿宋_GB2312" w:hAnsi="仿宋_GB2312" w:eastAsia="仿宋_GB2312" w:cs="仿宋_GB2312"/>
          <w:kern w:val="2"/>
          <w:sz w:val="32"/>
          <w:szCs w:val="32"/>
          <w:shd w:val="clear"/>
          <w:lang w:val="en-US" w:eastAsia="zh-CN" w:bidi="ar-SA"/>
        </w:rPr>
      </w:pPr>
    </w:p>
    <w:p w14:paraId="2A1F0D2B">
      <w:pPr>
        <w:pStyle w:val="2"/>
        <w:rPr>
          <w:rFonts w:hint="eastAsia" w:ascii="仿宋_GB2312" w:hAnsi="仿宋_GB2312" w:eastAsia="仿宋_GB2312" w:cs="仿宋_GB2312"/>
          <w:kern w:val="2"/>
          <w:sz w:val="32"/>
          <w:szCs w:val="32"/>
          <w:shd w:val="clear"/>
          <w:lang w:val="en-US" w:eastAsia="zh-CN" w:bidi="ar-SA"/>
        </w:rPr>
      </w:pPr>
    </w:p>
    <w:p w14:paraId="5D62A2A7">
      <w:pPr>
        <w:pStyle w:val="2"/>
        <w:rPr>
          <w:rFonts w:hint="eastAsia" w:ascii="仿宋_GB2312" w:hAnsi="仿宋_GB2312" w:eastAsia="仿宋_GB2312" w:cs="仿宋_GB2312"/>
          <w:kern w:val="2"/>
          <w:sz w:val="32"/>
          <w:szCs w:val="32"/>
          <w:shd w:val="clear"/>
          <w:lang w:val="en-US" w:eastAsia="zh-CN" w:bidi="ar-SA"/>
        </w:rPr>
      </w:pPr>
    </w:p>
    <w:tbl>
      <w:tblPr>
        <w:tblStyle w:val="10"/>
        <w:tblW w:w="0" w:type="auto"/>
        <w:tblInd w:w="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704"/>
        <w:gridCol w:w="1704"/>
        <w:gridCol w:w="1705"/>
        <w:gridCol w:w="1705"/>
      </w:tblGrid>
      <w:tr w14:paraId="0743F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661" w:type="dxa"/>
            <w:shd w:val="clear" w:color="auto" w:fill="auto"/>
          </w:tcPr>
          <w:p w14:paraId="446478D7">
            <w:pPr>
              <w:widowControl w:val="0"/>
              <w:numPr>
                <w:ilvl w:val="0"/>
                <w:numId w:val="0"/>
              </w:numPr>
              <w:shd w:val="clear"/>
              <w:bidi w:val="0"/>
              <w:adjustRightInd w:val="0"/>
              <w:snapToGrid w:val="0"/>
              <w:spacing w:line="560" w:lineRule="exact"/>
              <w:ind w:firstLine="552" w:firstLineChars="2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408" w:type="dxa"/>
            <w:gridSpan w:val="2"/>
            <w:shd w:val="clear" w:color="auto" w:fill="auto"/>
            <w:vAlign w:val="center"/>
          </w:tcPr>
          <w:p w14:paraId="41169D42">
            <w:pPr>
              <w:widowControl w:val="0"/>
              <w:numPr>
                <w:ilvl w:val="0"/>
                <w:numId w:val="0"/>
              </w:numPr>
              <w:shd w:val="clear"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API调用</w:t>
            </w:r>
          </w:p>
        </w:tc>
        <w:tc>
          <w:tcPr>
            <w:tcW w:w="3410" w:type="dxa"/>
            <w:gridSpan w:val="2"/>
            <w:shd w:val="clear" w:color="auto" w:fill="auto"/>
            <w:vAlign w:val="center"/>
          </w:tcPr>
          <w:p w14:paraId="2C2BF05C">
            <w:pPr>
              <w:widowControl w:val="0"/>
              <w:numPr>
                <w:ilvl w:val="0"/>
                <w:numId w:val="0"/>
              </w:numPr>
              <w:shd w:val="clear"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私有化部署</w:t>
            </w:r>
          </w:p>
        </w:tc>
      </w:tr>
      <w:tr w14:paraId="59A7E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661" w:type="dxa"/>
            <w:shd w:val="clear" w:color="auto" w:fill="auto"/>
            <w:vAlign w:val="center"/>
          </w:tcPr>
          <w:p w14:paraId="03AA22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档位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5E5A30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奖励基数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407AAD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奖励比例不超过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59B2D6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奖励基数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0098AE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奖励比例不超过</w:t>
            </w:r>
          </w:p>
        </w:tc>
      </w:tr>
      <w:tr w14:paraId="2502C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  <w:shd w:val="clear" w:color="auto" w:fill="auto"/>
            <w:vAlign w:val="center"/>
          </w:tcPr>
          <w:p w14:paraId="4B17D8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第一档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50F1FA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大于10万（含）且小于100万（含）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32DEA6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50%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751580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大于50万（含）且小于200万（含）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14FE47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20%</w:t>
            </w:r>
          </w:p>
        </w:tc>
      </w:tr>
      <w:tr w14:paraId="32CCC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  <w:shd w:val="clear" w:color="auto" w:fill="auto"/>
            <w:vAlign w:val="center"/>
          </w:tcPr>
          <w:p w14:paraId="4AA3F3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第二档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6EA009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大于100万且小于500万（含）的资金部分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79C020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25%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0A7110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大于200万且小于500万（含）的资金部分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03C401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10%</w:t>
            </w:r>
          </w:p>
        </w:tc>
      </w:tr>
      <w:tr w14:paraId="3852B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  <w:shd w:val="clear" w:color="auto" w:fill="auto"/>
            <w:vAlign w:val="center"/>
          </w:tcPr>
          <w:p w14:paraId="784921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第三档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084B50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大于500万的资金部分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30E363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10%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7523F9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大于500万的资金部分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48A195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5%</w:t>
            </w:r>
          </w:p>
        </w:tc>
      </w:tr>
    </w:tbl>
    <w:p w14:paraId="1709046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aseline"/>
        <w:rPr>
          <w:rFonts w:hint="default" w:ascii="仿宋_GB2312" w:hAnsi="仿宋_GB2312" w:eastAsia="仿宋_GB2312" w:cs="仿宋_GB2312"/>
          <w:kern w:val="2"/>
          <w:sz w:val="32"/>
          <w:szCs w:val="32"/>
          <w:shd w:val="clear" w:fill="FFFF00"/>
          <w:lang w:val="en-US" w:eastAsia="zh-CN" w:bidi="ar-SA"/>
        </w:rPr>
      </w:pPr>
    </w:p>
    <w:p w14:paraId="19BAE4C4">
      <w:pPr>
        <w:spacing w:line="560" w:lineRule="exact"/>
        <w:ind w:firstLine="632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</w:p>
    <w:tbl>
      <w:tblPr>
        <w:tblStyle w:val="10"/>
        <w:tblW w:w="0" w:type="auto"/>
        <w:tblInd w:w="6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7249"/>
      </w:tblGrid>
      <w:tr w14:paraId="3804F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0" w:type="dxa"/>
          </w:tcPr>
          <w:p w14:paraId="5A899D72">
            <w:pPr>
              <w:widowControl w:val="0"/>
              <w:bidi w:val="0"/>
              <w:adjustRightInd w:val="0"/>
              <w:snapToGrid w:val="0"/>
              <w:spacing w:line="5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附件：</w:t>
            </w:r>
          </w:p>
        </w:tc>
        <w:tc>
          <w:tcPr>
            <w:tcW w:w="7249" w:type="dxa"/>
            <w:shd w:val="clear" w:color="auto" w:fill="auto"/>
          </w:tcPr>
          <w:p w14:paraId="46D79A7C">
            <w:pPr>
              <w:widowControl w:val="0"/>
              <w:numPr>
                <w:ilvl w:val="0"/>
                <w:numId w:val="0"/>
              </w:numPr>
              <w:shd w:val="clear"/>
              <w:bidi w:val="0"/>
              <w:adjustRightInd w:val="0"/>
              <w:snapToGrid w:val="0"/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2"/>
                <w:kern w:val="0"/>
                <w:sz w:val="32"/>
                <w:szCs w:val="32"/>
                <w:highlight w:val="none"/>
                <w:lang w:val="en-US" w:eastAsia="zh-CN" w:bidi="ar-SA"/>
              </w:rPr>
              <w:t>3-1.API调用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  <w:t>模型券奖励政策申报材料清单</w:t>
            </w:r>
          </w:p>
          <w:p w14:paraId="5CC16A65">
            <w:pPr>
              <w:widowControl w:val="0"/>
              <w:numPr>
                <w:ilvl w:val="0"/>
                <w:numId w:val="0"/>
              </w:numPr>
              <w:shd w:val="clear"/>
              <w:bidi w:val="0"/>
              <w:adjustRightInd w:val="0"/>
              <w:snapToGrid w:val="0"/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  <w:t>3-2.私有化部署模型券奖励政策申报材料清单</w:t>
            </w:r>
          </w:p>
          <w:p w14:paraId="66D7524B">
            <w:pPr>
              <w:widowControl w:val="0"/>
              <w:numPr>
                <w:ilvl w:val="0"/>
                <w:numId w:val="0"/>
              </w:numPr>
              <w:bidi w:val="0"/>
              <w:adjustRightInd w:val="0"/>
              <w:snapToGrid w:val="0"/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3-3.模型券奖励申报表</w:t>
            </w:r>
          </w:p>
          <w:p w14:paraId="537A19B1">
            <w:pPr>
              <w:widowControl w:val="0"/>
              <w:numPr>
                <w:ilvl w:val="0"/>
                <w:numId w:val="0"/>
              </w:numPr>
              <w:bidi w:val="0"/>
              <w:adjustRightInd w:val="0"/>
              <w:snapToGrid w:val="0"/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3-4.企业承诺书</w:t>
            </w:r>
          </w:p>
        </w:tc>
      </w:tr>
    </w:tbl>
    <w:p w14:paraId="631B29FA">
      <w:pPr>
        <w:widowControl w:val="0"/>
        <w:bidi w:val="0"/>
        <w:adjustRightInd w:val="0"/>
        <w:snapToGrid w:val="0"/>
        <w:spacing w:line="560" w:lineRule="exact"/>
        <w:ind w:firstLine="63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2DF3E89E">
      <w:pPr>
        <w:rPr>
          <w:rFonts w:hint="eastAsia" w:ascii="Times New Roman" w:hAnsi="Times New Roman" w:eastAsia="仿宋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22"/>
          <w:lang w:val="en-US" w:eastAsia="zh-CN"/>
        </w:rPr>
        <w:br w:type="page"/>
      </w:r>
    </w:p>
    <w:p w14:paraId="074169DA">
      <w:pPr>
        <w:widowControl w:val="0"/>
        <w:bidi w:val="0"/>
        <w:spacing w:line="560" w:lineRule="exact"/>
        <w:ind w:left="0" w:leftChars="0" w:firstLine="0" w:firstLineChars="0"/>
        <w:jc w:val="both"/>
        <w:outlineLvl w:val="0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附件3-1</w:t>
      </w:r>
    </w:p>
    <w:p w14:paraId="2C41C224">
      <w:pPr>
        <w:widowControl w:val="0"/>
        <w:bidi w:val="0"/>
        <w:spacing w:line="560" w:lineRule="exact"/>
        <w:ind w:firstLine="0" w:firstLineChars="0"/>
        <w:jc w:val="center"/>
        <w:outlineLvl w:val="0"/>
        <w:rPr>
          <w:rFonts w:hint="eastAsia"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</w:pPr>
    </w:p>
    <w:p w14:paraId="35A4684B">
      <w:pPr>
        <w:widowControl w:val="0"/>
        <w:bidi w:val="0"/>
        <w:spacing w:line="560" w:lineRule="exact"/>
        <w:ind w:firstLine="0" w:firstLineChars="0"/>
        <w:jc w:val="center"/>
        <w:outlineLvl w:val="0"/>
        <w:rPr>
          <w:rFonts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  <w:t>API调用模型券奖励政策申报材料清单</w:t>
      </w:r>
    </w:p>
    <w:p w14:paraId="747BBEC7">
      <w:pPr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</w:pPr>
    </w:p>
    <w:p w14:paraId="52E4BBD0">
      <w:pPr>
        <w:widowControl w:val="0"/>
        <w:shd w:val="clear"/>
        <w:bidi w:val="0"/>
        <w:adjustRightInd w:val="0"/>
        <w:snapToGrid w:val="0"/>
        <w:spacing w:line="560" w:lineRule="exact"/>
        <w:ind w:firstLine="63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1.模型券奖励申报表（附件3-3）</w:t>
      </w:r>
    </w:p>
    <w:p w14:paraId="6AA04217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2.项目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合同</w:t>
      </w:r>
    </w:p>
    <w:p w14:paraId="6A3351BF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合同需为用印版的完整合同，必须明确交付标的，交付标的需为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大模型费用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大模型采购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单价应符合市场一般情况；必须明确金额支付的时间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合同期限大于政策执行期限的，需明确分期交付支付的细则，以便核算拟发放的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eastAsia="zh-CN"/>
        </w:rPr>
        <w:t>模型券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额度。供需双方签订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大模型采购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框架合同，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明确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大模型的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使用量和使用期限。</w:t>
      </w:r>
    </w:p>
    <w:p w14:paraId="1B6C09E2">
      <w:pPr>
        <w:shd w:val="clear"/>
        <w:spacing w:line="560" w:lineRule="exact"/>
        <w:ind w:firstLine="632" w:firstLineChars="200"/>
        <w:rPr>
          <w:rFonts w:hint="default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3.大模型API调用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结算单（由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供给企业出具）</w:t>
      </w:r>
    </w:p>
    <w:p w14:paraId="06175AEE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由大模型企业出具的申报单位从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月1日至申报之日内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实际发生的大模型API调用</w:t>
      </w:r>
      <w:r>
        <w:rPr>
          <w:rFonts w:hint="eastAsia" w:ascii="仿宋_GB2312" w:hAnsi="仿宋_GB2312" w:eastAsia="仿宋_GB2312" w:cs="Times New Roman"/>
          <w:bCs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服务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证明</w:t>
      </w:r>
    </w:p>
    <w:p w14:paraId="12DE8D10">
      <w:pPr>
        <w:shd w:val="clear"/>
        <w:spacing w:line="560" w:lineRule="exact"/>
        <w:ind w:firstLine="632" w:firstLineChars="200"/>
        <w:rPr>
          <w:rFonts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支付发票或付款证明</w:t>
      </w:r>
    </w:p>
    <w:p w14:paraId="5CB1EE7D">
      <w:pPr>
        <w:shd w:val="clear"/>
        <w:spacing w:line="560" w:lineRule="exact"/>
        <w:ind w:firstLine="632" w:firstLineChars="200"/>
        <w:rPr>
          <w:rFonts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与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申报单位在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政策执行期限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内实际发生的大模型调用费用</w:t>
      </w:r>
      <w:r>
        <w:rPr>
          <w:rFonts w:ascii="仿宋_GB2312" w:hAnsi="仿宋_GB2312" w:eastAsia="仿宋_GB2312" w:cs="Times New Roman"/>
          <w:bCs/>
          <w:color w:val="000000"/>
          <w:sz w:val="32"/>
          <w:szCs w:val="32"/>
        </w:rPr>
        <w:t>等对应的发票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或付款证明。</w:t>
      </w:r>
    </w:p>
    <w:p w14:paraId="259C41B5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5.大模型应用开发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企业资质及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使用情况说明</w:t>
      </w:r>
    </w:p>
    <w:p w14:paraId="7BD368D9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应包括大模型应用的场景、应用案例、大模型简介、团队人员背景、相关专利和著作权等信息以及其他有利于模型券申报材料。</w:t>
      </w:r>
    </w:p>
    <w:p w14:paraId="0CDE3F48">
      <w:pPr>
        <w:numPr>
          <w:ilvl w:val="0"/>
          <w:numId w:val="0"/>
        </w:num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北京市高精尖产业发展资金承诺书（2024年）（法定代表人签字并加企业公章）（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3-4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）。</w:t>
      </w:r>
    </w:p>
    <w:p w14:paraId="2E7E094A">
      <w:pPr>
        <w:numPr>
          <w:ilvl w:val="0"/>
          <w:numId w:val="0"/>
        </w:numPr>
        <w:shd w:val="clear"/>
        <w:spacing w:line="560" w:lineRule="exact"/>
        <w:ind w:firstLine="64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7.项目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申报期内未获得其他市级财政资金相关支持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的承诺书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格式自拟，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法定代表人签字并加企业公章）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 w14:paraId="32D606FC">
      <w:pPr>
        <w:widowControl w:val="0"/>
        <w:shd w:val="clear"/>
        <w:adjustRightInd w:val="0"/>
        <w:snapToGrid w:val="0"/>
        <w:spacing w:line="560" w:lineRule="exact"/>
        <w:ind w:firstLine="640" w:firstLineChars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.企业提供应用承诺书，承诺使用大模型所开展的应用符合《北京市推动“人工智能+”行动计划（2024-2025年）》所明教育、医疗、文化、交通、政务、工业、金融、营销、司法、传媒、能源、影视、游戏、园林绿化等细分行业场景。（格式自拟，法定代表人签字并加企业公章）。</w:t>
      </w:r>
    </w:p>
    <w:p w14:paraId="3A785D20">
      <w:pPr>
        <w:pStyle w:val="2"/>
        <w:ind w:firstLine="632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9.申报单位与所使用的大模型所属企业为非关联企业的证明材料，须由法定代表人签字并加企业公章。</w:t>
      </w:r>
    </w:p>
    <w:p w14:paraId="36E1B3BA">
      <w:pPr>
        <w:shd w:val="clear"/>
        <w:rPr>
          <w:rFonts w:hint="eastAsia" w:ascii="黑体" w:hAnsi="黑体" w:eastAsia="黑体"/>
          <w:sz w:val="32"/>
          <w:szCs w:val="32"/>
        </w:rPr>
      </w:pPr>
    </w:p>
    <w:p w14:paraId="365B894C">
      <w:pPr>
        <w:shd w:val="clea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 w14:paraId="2F69B3ED">
      <w:pPr>
        <w:widowControl w:val="0"/>
        <w:shd w:val="clear"/>
        <w:bidi w:val="0"/>
        <w:spacing w:line="560" w:lineRule="exact"/>
        <w:ind w:left="0" w:leftChars="0" w:firstLine="0" w:firstLineChars="0"/>
        <w:jc w:val="both"/>
        <w:outlineLvl w:val="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附件3-2</w:t>
      </w:r>
    </w:p>
    <w:p w14:paraId="0938BF9C">
      <w:pPr>
        <w:widowControl w:val="0"/>
        <w:shd w:val="clear"/>
        <w:spacing w:line="560" w:lineRule="exact"/>
        <w:ind w:firstLine="632" w:firstLineChars="200"/>
        <w:jc w:val="both"/>
        <w:outlineLvl w:val="1"/>
        <w:rPr>
          <w:rFonts w:hint="default" w:ascii="楷体_GB2312" w:hAnsi="楷体_GB2312" w:eastAsia="楷体_GB2312" w:cs="Times New Roman"/>
          <w:kern w:val="2"/>
          <w:sz w:val="32"/>
          <w:szCs w:val="32"/>
          <w:lang w:val="en-US" w:eastAsia="zh-CN" w:bidi="ar-SA"/>
        </w:rPr>
      </w:pPr>
    </w:p>
    <w:p w14:paraId="6C8CE556">
      <w:pPr>
        <w:widowControl w:val="0"/>
        <w:shd w:val="clear"/>
        <w:bidi w:val="0"/>
        <w:spacing w:line="560" w:lineRule="exact"/>
        <w:ind w:firstLine="0" w:firstLineChars="0"/>
        <w:jc w:val="center"/>
        <w:outlineLvl w:val="0"/>
        <w:rPr>
          <w:rFonts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  <w:t>私有化部署模型券奖励政策申报材料清单</w:t>
      </w:r>
    </w:p>
    <w:p w14:paraId="44C24B18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</w:pPr>
    </w:p>
    <w:p w14:paraId="7CA394B7">
      <w:pPr>
        <w:widowControl w:val="0"/>
        <w:shd w:val="clear"/>
        <w:bidi w:val="0"/>
        <w:adjustRightInd w:val="0"/>
        <w:snapToGrid w:val="0"/>
        <w:spacing w:line="560" w:lineRule="exact"/>
        <w:ind w:firstLine="63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1.模型券奖励申报表（附件3-3）</w:t>
      </w:r>
    </w:p>
    <w:p w14:paraId="28DE844F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2.项目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合同</w:t>
      </w:r>
    </w:p>
    <w:p w14:paraId="44FB5E27">
      <w:pPr>
        <w:shd w:val="clear"/>
        <w:spacing w:line="560" w:lineRule="exact"/>
        <w:ind w:firstLine="632" w:firstLineChars="200"/>
        <w:rPr>
          <w:rFonts w:hint="default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合同需为用印版的完整合同，必须明确交付标的，交付标的需为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大模型采购费用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；必须明确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采购大模型的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规模和支付金额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不包含算力、数据等相关费用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大模型采购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单价应符合市场一般情况；必须明确金额支付的时间，合同期限大于政策执行期限的，需明确分期交付支付的细则，以便核算拟发放的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eastAsia="zh-CN"/>
        </w:rPr>
        <w:t>模型券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额度。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合同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签署日期应为9月1日（含）以后。</w:t>
      </w:r>
    </w:p>
    <w:p w14:paraId="0CBE7445">
      <w:pPr>
        <w:shd w:val="clear"/>
        <w:spacing w:line="560" w:lineRule="exact"/>
        <w:ind w:firstLine="632" w:firstLineChars="200"/>
        <w:rPr>
          <w:rFonts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支付发票或付款证明</w:t>
      </w:r>
    </w:p>
    <w:p w14:paraId="3B5F019A">
      <w:pPr>
        <w:shd w:val="clear"/>
        <w:spacing w:line="560" w:lineRule="exact"/>
        <w:ind w:firstLine="632" w:firstLineChars="200"/>
        <w:rPr>
          <w:rFonts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与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大模型采购</w:t>
      </w:r>
      <w:r>
        <w:rPr>
          <w:rFonts w:ascii="仿宋_GB2312" w:hAnsi="仿宋_GB2312" w:eastAsia="仿宋_GB2312" w:cs="Times New Roman"/>
          <w:bCs/>
          <w:color w:val="000000"/>
          <w:sz w:val="32"/>
          <w:szCs w:val="32"/>
        </w:rPr>
        <w:t>合同、支付额度、交付</w:t>
      </w:r>
      <w:bookmarkStart w:id="0" w:name="_GoBack"/>
      <w:bookmarkEnd w:id="0"/>
      <w:r>
        <w:rPr>
          <w:rFonts w:ascii="仿宋_GB2312" w:hAnsi="仿宋_GB2312" w:eastAsia="仿宋_GB2312" w:cs="Times New Roman"/>
          <w:bCs/>
          <w:color w:val="000000"/>
          <w:sz w:val="32"/>
          <w:szCs w:val="32"/>
        </w:rPr>
        <w:t>时间等对应的发票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或付款证明。</w:t>
      </w:r>
    </w:p>
    <w:p w14:paraId="12E3A981">
      <w:pPr>
        <w:shd w:val="clear"/>
        <w:spacing w:line="560" w:lineRule="exact"/>
        <w:ind w:firstLine="632" w:firstLineChars="200"/>
        <w:rPr>
          <w:rFonts w:hint="eastAsia" w:ascii="Times New Roman" w:hAnsi="宋体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宋体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项目验收报告</w:t>
      </w:r>
    </w:p>
    <w:p w14:paraId="02A2CB67">
      <w:pPr>
        <w:shd w:val="clear"/>
        <w:spacing w:line="560" w:lineRule="exact"/>
        <w:ind w:firstLine="632" w:firstLineChars="200"/>
        <w:rPr>
          <w:rFonts w:hint="default" w:ascii="Times New Roman" w:hAnsi="宋体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宋体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项目验收报告应能明确应用场景领域及应用效果</w:t>
      </w:r>
    </w:p>
    <w:p w14:paraId="22FD6FCD">
      <w:p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5.大模型应用开发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企业资质及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大模型</w:t>
      </w: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使用情况说明</w:t>
      </w:r>
    </w:p>
    <w:p w14:paraId="460957C9">
      <w:pPr>
        <w:numPr>
          <w:ilvl w:val="0"/>
          <w:numId w:val="0"/>
        </w:num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</w:rPr>
        <w:t>应包括大模型应用的场景、应用案例、大模型简介、团队人员背景、相关专利和著作权等信息以及其他有利于模型券申报材料。</w:t>
      </w:r>
    </w:p>
    <w:p w14:paraId="6856F664">
      <w:pPr>
        <w:numPr>
          <w:ilvl w:val="0"/>
          <w:numId w:val="0"/>
        </w:numPr>
        <w:shd w:val="clear"/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Times New Roman"/>
          <w:bCs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北京市高精尖产业发展资金承诺书（2024年）（法定代表人签字并加企业公章）（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3-4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）。</w:t>
      </w:r>
    </w:p>
    <w:p w14:paraId="38C03DD7">
      <w:pPr>
        <w:numPr>
          <w:ilvl w:val="0"/>
          <w:numId w:val="0"/>
        </w:numPr>
        <w:shd w:val="clear"/>
        <w:spacing w:line="560" w:lineRule="exact"/>
        <w:ind w:firstLine="64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7.项目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申报期内未获得其他市级财政资金相关支持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的承诺书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格式自拟，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法定代表人签字并加企业公章）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 w14:paraId="0DDA7C12">
      <w:pPr>
        <w:widowControl w:val="0"/>
        <w:shd w:val="clear"/>
        <w:adjustRightInd w:val="0"/>
        <w:snapToGrid w:val="0"/>
        <w:spacing w:line="560" w:lineRule="exact"/>
        <w:ind w:firstLine="640" w:firstLineChars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.企业提供应用承诺书，承诺使用大模型所开展的应用符合《北京市推动“人工智能+”行动计划（2024-2025年）》所明教育、医疗、文化、交通、政务、工业、金融、营销、司法、传媒、能源、影视、游戏、园林绿化等细分行业场景。（格式自拟，法定代表人签字并加企业公章）。</w:t>
      </w:r>
    </w:p>
    <w:p w14:paraId="2D8BE8EB">
      <w:pPr>
        <w:pStyle w:val="2"/>
        <w:ind w:firstLine="632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9.申报单位与所使用的大模型所属企业为非关联企业的证明材料，须由法定代表人签字并加企业公章。</w:t>
      </w:r>
    </w:p>
    <w:p w14:paraId="0BBF61AB">
      <w:pPr>
        <w:pStyle w:val="2"/>
        <w:rPr>
          <w:rFonts w:hint="eastAsia"/>
          <w:lang w:val="en-US" w:eastAsia="zh-CN"/>
        </w:rPr>
      </w:pPr>
    </w:p>
    <w:p w14:paraId="21DCB048">
      <w:pPr>
        <w:shd w:val="clea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 w14:paraId="1FF4EB14">
      <w:pPr>
        <w:widowControl w:val="0"/>
        <w:bidi w:val="0"/>
        <w:spacing w:line="560" w:lineRule="exact"/>
        <w:ind w:left="0" w:leftChars="0" w:firstLine="0" w:firstLineChars="0"/>
        <w:jc w:val="both"/>
        <w:outlineLvl w:val="0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附件3-3</w:t>
      </w:r>
    </w:p>
    <w:p w14:paraId="5407E2F6">
      <w:pPr>
        <w:widowControl w:val="0"/>
        <w:bidi w:val="0"/>
        <w:spacing w:line="560" w:lineRule="exact"/>
        <w:ind w:firstLine="0" w:firstLineChars="0"/>
        <w:jc w:val="center"/>
        <w:outlineLvl w:val="0"/>
        <w:rPr>
          <w:rFonts w:hint="eastAsia"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Times New Roman"/>
          <w:kern w:val="2"/>
          <w:sz w:val="44"/>
          <w:szCs w:val="44"/>
          <w:lang w:val="en-US" w:eastAsia="zh-CN" w:bidi="ar-SA"/>
        </w:rPr>
        <w:t>模型券奖励申报表</w:t>
      </w:r>
    </w:p>
    <w:p w14:paraId="6C1A19CE">
      <w:pPr>
        <w:widowControl w:val="0"/>
        <w:bidi w:val="0"/>
        <w:adjustRightInd w:val="0"/>
        <w:snapToGrid w:val="0"/>
        <w:spacing w:line="560" w:lineRule="exact"/>
        <w:ind w:firstLine="63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tbl>
      <w:tblPr>
        <w:tblStyle w:val="9"/>
        <w:tblW w:w="8980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2622"/>
        <w:gridCol w:w="2028"/>
        <w:gridCol w:w="2355"/>
      </w:tblGrid>
      <w:tr w14:paraId="660C6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93CE1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第一部分 申请基本情况——申请企业情况（加盖公章）</w:t>
            </w:r>
          </w:p>
        </w:tc>
      </w:tr>
      <w:tr w14:paraId="684D1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6E67121E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E889B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594292F3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42143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5B937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3DDB97C5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注册地址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870BF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19FE850B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8D307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500AE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832AD52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7C47B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24B319A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联系邮箱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11D95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29B7C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0B5EC2A9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申报联系人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F9E8F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63C28A32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联系人手机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F1C9D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3B807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86B044C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上一年营收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3EA20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13CA1514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员工数量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F61F4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38078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385611D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FFC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大模型应用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产品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2024年上半年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收入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A134E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63633CA4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国民经济行业分类代码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BE74B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14:paraId="1F6E8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3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1A5B1C5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企业基本情况介绍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424C1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（企业基本信息、发展现状、主营业务和近3年主营业务收入情况，成立不满3年的企业提供成立以来的主营业务收入情况）</w:t>
            </w:r>
          </w:p>
        </w:tc>
      </w:tr>
      <w:tr w14:paraId="2E3DB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29F789B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企业所处行业排名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05C6C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描述在行业内的竞争排名，并提供佐证材料，材料类别不限，若无此项可不填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 w14:paraId="348B1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8437D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第二部分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大模型应用产品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基本情况</w:t>
            </w:r>
          </w:p>
        </w:tc>
      </w:tr>
      <w:tr w14:paraId="5108F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57363883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产品名称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91A1E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拟申报的大模型应用产品）</w:t>
            </w:r>
          </w:p>
        </w:tc>
      </w:tr>
      <w:tr w14:paraId="1DB54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46E302B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产品类型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D885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（API调用、云端模型调优、私有化部署、智能体、硬件终端结合等方式）</w:t>
            </w:r>
          </w:p>
        </w:tc>
      </w:tr>
      <w:tr w14:paraId="0D7D0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7ABBD79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产品上线时间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18955">
            <w:pPr>
              <w:widowControl/>
              <w:spacing w:line="400" w:lineRule="exact"/>
              <w:jc w:val="left"/>
              <w:rPr>
                <w:rFonts w:hint="default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10C9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7A8F14D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应用场景说明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D6DB1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说明该产品的行业应用场景，是否为教育、医疗、文化、交通、政务、工业、金融、营销、司法、传媒、能源、影视、游戏、园林绿化等行业细分应用场景，需列举行业场景应用情况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 w14:paraId="7DA6F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279388B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产品申报费用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（万元）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1FA61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分项说明大模型产品各类费用，包括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</w:rPr>
              <w:t>API调用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费用、私有化部署费用、大模型采购费用等，算力费用需单独列出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 w14:paraId="1F901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001EB1F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产品说明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F5715"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</w:rPr>
              <w:t>（1000字以内描述）</w:t>
            </w:r>
          </w:p>
        </w:tc>
      </w:tr>
      <w:tr w14:paraId="1C841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43F92EA8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成效说明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F3ACC">
            <w:pPr>
              <w:widowControl w:val="0"/>
              <w:ind w:firstLine="0" w:firstLineChars="0"/>
              <w:jc w:val="left"/>
              <w:rPr>
                <w:rFonts w:ascii="Times New Roman" w:hAnsi="Times New Roman" w:eastAsia="仿宋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  <w:t>（产品应用后的成效和已取得成绩）</w:t>
            </w:r>
          </w:p>
        </w:tc>
      </w:tr>
      <w:tr w14:paraId="15B1A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 w14:paraId="3EAE4D19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补充说明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EF6B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  <w:t>（企业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  <w:t>可同时申请API调用和私有化部署两种方式的应用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  <w:t>奖励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000000"/>
                <w:kern w:val="0"/>
                <w:sz w:val="21"/>
                <w:szCs w:val="21"/>
                <w:lang w:val="en-US" w:eastAsia="zh-CN" w:bidi="ar-SA"/>
              </w:rPr>
              <w:t>申报多项产品的自行扩充本表）</w:t>
            </w:r>
          </w:p>
        </w:tc>
      </w:tr>
    </w:tbl>
    <w:p w14:paraId="6C640421">
      <w:pPr>
        <w:widowControl w:val="0"/>
        <w:ind w:firstLine="412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-SA"/>
        </w:rPr>
        <w:br w:type="page"/>
      </w:r>
    </w:p>
    <w:p w14:paraId="6FD8BE0E">
      <w:pPr>
        <w:widowControl w:val="0"/>
        <w:bidi w:val="0"/>
        <w:spacing w:line="560" w:lineRule="exact"/>
        <w:ind w:left="0" w:leftChars="0" w:firstLine="0" w:firstLineChars="0"/>
        <w:jc w:val="both"/>
        <w:outlineLvl w:val="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附件3-4</w:t>
      </w:r>
    </w:p>
    <w:p w14:paraId="4EC04D0A">
      <w:pPr>
        <w:spacing w:line="560" w:lineRule="exact"/>
        <w:jc w:val="center"/>
        <w:outlineLvl w:val="0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模型券奖励</w:t>
      </w:r>
      <w:r>
        <w:rPr>
          <w:rFonts w:hint="eastAsia" w:ascii="方正小标宋简体" w:hAnsi="Times New Roman" w:eastAsia="方正小标宋简体"/>
          <w:sz w:val="44"/>
          <w:szCs w:val="44"/>
        </w:rPr>
        <w:t>承诺书</w:t>
      </w:r>
    </w:p>
    <w:p w14:paraId="1DA39DFD">
      <w:pPr>
        <w:spacing w:line="560" w:lineRule="exact"/>
        <w:jc w:val="center"/>
        <w:rPr>
          <w:rFonts w:hint="default" w:ascii="楷体_GB2312" w:hAnsi="楷体_GB2312" w:eastAsia="楷体_GB2312" w:cs="楷体_GB2312"/>
          <w:sz w:val="32"/>
          <w:szCs w:val="2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22"/>
        </w:rPr>
        <w:t>（</w:t>
      </w:r>
      <w:r>
        <w:rPr>
          <w:rFonts w:hint="eastAsia" w:ascii="楷体_GB2312" w:hAnsi="楷体_GB2312" w:eastAsia="楷体_GB2312" w:cs="楷体_GB2312"/>
          <w:sz w:val="32"/>
          <w:szCs w:val="22"/>
          <w:lang w:val="en-US" w:eastAsia="zh-CN"/>
        </w:rPr>
        <w:t>202</w:t>
      </w:r>
      <w:r>
        <w:rPr>
          <w:rFonts w:hint="eastAsia" w:ascii="楷体" w:hAnsi="楷体" w:eastAsia="楷体" w:cs="楷体"/>
          <w:sz w:val="32"/>
          <w:szCs w:val="2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32"/>
          <w:szCs w:val="22"/>
        </w:rPr>
        <w:t>年）</w:t>
      </w:r>
    </w:p>
    <w:p w14:paraId="7B3390A4">
      <w:pPr>
        <w:spacing w:line="560" w:lineRule="exact"/>
        <w:rPr>
          <w:rFonts w:hint="eastAsia" w:ascii="Times New Roman" w:hAnsi="Times New Roman" w:eastAsia="仿宋_GB2312"/>
          <w:sz w:val="32"/>
          <w:szCs w:val="22"/>
        </w:rPr>
      </w:pPr>
    </w:p>
    <w:p w14:paraId="2ACCABC8">
      <w:pPr>
        <w:spacing w:line="560" w:lineRule="exact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Times New Roman" w:hAnsi="Times New Roman" w:eastAsia="仿宋_GB2312"/>
          <w:sz w:val="32"/>
          <w:szCs w:val="22"/>
        </w:rPr>
        <w:t>北</w:t>
      </w:r>
      <w:r>
        <w:rPr>
          <w:rFonts w:hint="eastAsia" w:ascii="仿宋_GB2312" w:hAnsi="仿宋_GB2312" w:eastAsia="仿宋_GB2312" w:cs="仿宋_GB2312"/>
          <w:sz w:val="32"/>
          <w:szCs w:val="22"/>
        </w:rPr>
        <w:t>京市经济和信息化局：</w:t>
      </w:r>
    </w:p>
    <w:p w14:paraId="226C15FA">
      <w:pPr>
        <w:widowControl w:val="0"/>
        <w:adjustRightInd w:val="0"/>
        <w:snapToGrid w:val="0"/>
        <w:spacing w:line="560" w:lineRule="exact"/>
        <w:ind w:firstLine="632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申报单位（全称）_______（以下简称“本单位”）拟申报2024年模型券奖励，具体承诺如下：</w:t>
      </w:r>
    </w:p>
    <w:p w14:paraId="44FE95CB">
      <w:pPr>
        <w:spacing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1.本单位承诺提交的全部申报材料均真实、准确、有效，申请资格和条件符合政策规定。</w:t>
      </w:r>
    </w:p>
    <w:p w14:paraId="71F74EBC">
      <w:pPr>
        <w:spacing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2.本单位近三年内在工商、税务、银行、海关、环保等部门无严重不良行为，主要生产经营活动和结算在本市，无重大安全环保和质量事故。</w:t>
      </w:r>
    </w:p>
    <w:p w14:paraId="4A1CFDFD">
      <w:pPr>
        <w:spacing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3.本次申请奖励</w:t>
      </w:r>
      <w:r>
        <w:rPr>
          <w:rFonts w:hint="eastAsia" w:ascii="仿宋_GB2312" w:hAnsi="仿宋_GB2312" w:eastAsia="仿宋_GB2312" w:cs="仿宋_GB2312"/>
          <w:sz w:val="32"/>
          <w:szCs w:val="22"/>
          <w:lang w:val="en-US" w:eastAsia="zh-CN"/>
        </w:rPr>
        <w:t>的事项</w:t>
      </w:r>
      <w:r>
        <w:rPr>
          <w:rFonts w:hint="eastAsia" w:ascii="仿宋_GB2312" w:hAnsi="仿宋_GB2312" w:eastAsia="仿宋_GB2312" w:cs="仿宋_GB2312"/>
          <w:sz w:val="32"/>
          <w:szCs w:val="22"/>
        </w:rPr>
        <w:t>在京建设、各项手续齐备且未获得其他市级财政资金支持。</w:t>
      </w:r>
    </w:p>
    <w:p w14:paraId="1990B52D">
      <w:pPr>
        <w:spacing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4.本单位将长期立足北京稳定发展。</w:t>
      </w:r>
    </w:p>
    <w:p w14:paraId="0DCDA8AE">
      <w:pPr>
        <w:spacing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5.本单位自愿接受并积极配合市区相关部门监管。</w:t>
      </w:r>
    </w:p>
    <w:p w14:paraId="76FA31D7">
      <w:pPr>
        <w:spacing w:line="56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6.本单位遵循诚实守信原则，若违反以上承诺事项，将在六个月内向北京市经济和信息化局退还全部资金。</w:t>
      </w:r>
    </w:p>
    <w:p w14:paraId="2AFD8984">
      <w:pPr>
        <w:widowControl w:val="0"/>
        <w:bidi w:val="0"/>
        <w:adjustRightInd w:val="0"/>
        <w:snapToGrid w:val="0"/>
        <w:spacing w:line="560" w:lineRule="exact"/>
        <w:ind w:firstLine="63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.承诺使用大模型所开展的应用符合《北京市推动“人工智能+”行动计划（2024-2025年）》所明教育、医疗、文化、交通、政务、工业、金融、营销、司法、传媒、能源、影视、游戏、园林绿化等细分行业场景。（格式自拟，法定代表人签字并加企业公章）。</w:t>
      </w:r>
    </w:p>
    <w:p w14:paraId="2E97349D">
      <w:pPr>
        <w:bidi w:val="0"/>
        <w:ind w:firstLine="632" w:firstLineChars="200"/>
        <w:rPr>
          <w:rFonts w:hint="default" w:ascii="Times New Roman" w:hAnsi="Times New Roman" w:eastAsia="仿宋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2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.本企业所采购的大模型企业为非关联企业。</w:t>
      </w:r>
    </w:p>
    <w:p w14:paraId="03DAA17E">
      <w:pPr>
        <w:spacing w:line="560" w:lineRule="exact"/>
        <w:ind w:firstLine="632" w:firstLineChars="200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22"/>
        </w:rPr>
        <w:t>.本单位将按照相关法律法规和制度规定使用奖励资金，如申报和使用中存在虚报、骗取、挪用、贿赂等违法违规行为，将依照《财政违法行为处罚处分条例》等相关法律法规接受处理。涉嫌犯罪的，自愿接受司法机关依法处理。</w:t>
      </w:r>
    </w:p>
    <w:p w14:paraId="186D06D8">
      <w:pPr>
        <w:spacing w:line="560" w:lineRule="exact"/>
        <w:rPr>
          <w:rFonts w:ascii="仿宋_GB2312" w:hAnsi="仿宋_GB2312" w:eastAsia="仿宋_GB2312" w:cs="仿宋_GB2312"/>
          <w:sz w:val="32"/>
          <w:szCs w:val="22"/>
        </w:rPr>
      </w:pPr>
    </w:p>
    <w:p w14:paraId="203B5F89">
      <w:pPr>
        <w:spacing w:line="560" w:lineRule="exact"/>
        <w:rPr>
          <w:rFonts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>法定代表人（签字）：         单位（签章）：</w:t>
      </w:r>
    </w:p>
    <w:p w14:paraId="48408C37">
      <w:pPr>
        <w:spacing w:line="560" w:lineRule="exact"/>
        <w:ind w:right="632" w:firstLine="4740" w:firstLineChars="1500"/>
        <w:jc w:val="left"/>
        <w:rPr>
          <w:rFonts w:hint="eastAsia" w:ascii="仿宋_GB2312" w:hAnsi="仿宋_GB2312" w:eastAsia="仿宋_GB2312" w:cs="仿宋_GB2312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22"/>
        </w:rPr>
        <w:t xml:space="preserve">    年    月   日</w:t>
      </w:r>
    </w:p>
    <w:p w14:paraId="1BD1B805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5" w:left="1588" w:header="851" w:footer="1304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4467ED-FD30-4A22-90D3-D899A671E4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BC496F4-49A6-4060-8842-F54930EFE63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EF2FF75-CFCF-4FA5-BE40-5B9B9F577C3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9CCAEE6-9416-4769-BBD6-7F957B18B1C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40291D4-F4B6-4BD0-96EB-41780EC455C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9B49392A-AF92-450B-9085-1AAE5F4416A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id w:val="14329228"/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 w14:paraId="559735D4">
        <w:pPr>
          <w:widowControl w:val="0"/>
          <w:tabs>
            <w:tab w:val="center" w:pos="4153"/>
            <w:tab w:val="right" w:pos="8306"/>
          </w:tabs>
          <w:snapToGrid w:val="0"/>
          <w:ind w:right="280"/>
          <w:jc w:val="righ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1 -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 w14:paraId="3C1B43B9">
    <w:pPr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3A142C"/>
    <w:rsid w:val="00562032"/>
    <w:rsid w:val="00D73302"/>
    <w:rsid w:val="01AA2F3E"/>
    <w:rsid w:val="01D41B2B"/>
    <w:rsid w:val="01F35423"/>
    <w:rsid w:val="02531A26"/>
    <w:rsid w:val="0321400D"/>
    <w:rsid w:val="03363BFB"/>
    <w:rsid w:val="038D51FF"/>
    <w:rsid w:val="0399590F"/>
    <w:rsid w:val="03D60D6C"/>
    <w:rsid w:val="03F5715C"/>
    <w:rsid w:val="043655F5"/>
    <w:rsid w:val="04FC43EA"/>
    <w:rsid w:val="050A26BF"/>
    <w:rsid w:val="050B0AD1"/>
    <w:rsid w:val="05DE61E6"/>
    <w:rsid w:val="0607573C"/>
    <w:rsid w:val="06CA4F89"/>
    <w:rsid w:val="07A82C5C"/>
    <w:rsid w:val="07C03CE2"/>
    <w:rsid w:val="08A53509"/>
    <w:rsid w:val="093E3D2D"/>
    <w:rsid w:val="09E90749"/>
    <w:rsid w:val="0ABF6A00"/>
    <w:rsid w:val="0B590C7E"/>
    <w:rsid w:val="0C4964F8"/>
    <w:rsid w:val="0CF609A8"/>
    <w:rsid w:val="0D607445"/>
    <w:rsid w:val="0DA82612"/>
    <w:rsid w:val="0DC36296"/>
    <w:rsid w:val="0DFA594D"/>
    <w:rsid w:val="0F900B74"/>
    <w:rsid w:val="10150A56"/>
    <w:rsid w:val="10765998"/>
    <w:rsid w:val="10DC1EE2"/>
    <w:rsid w:val="10FF6878"/>
    <w:rsid w:val="11373335"/>
    <w:rsid w:val="113D0264"/>
    <w:rsid w:val="118C0165"/>
    <w:rsid w:val="11C35F32"/>
    <w:rsid w:val="11E40B43"/>
    <w:rsid w:val="11E60331"/>
    <w:rsid w:val="12152F8F"/>
    <w:rsid w:val="12217B86"/>
    <w:rsid w:val="126B155C"/>
    <w:rsid w:val="13CC15E0"/>
    <w:rsid w:val="140A13F0"/>
    <w:rsid w:val="14A6632E"/>
    <w:rsid w:val="14B44CE1"/>
    <w:rsid w:val="14B9272B"/>
    <w:rsid w:val="14BE346A"/>
    <w:rsid w:val="14DA6A78"/>
    <w:rsid w:val="154D49DF"/>
    <w:rsid w:val="157F33C3"/>
    <w:rsid w:val="165F659B"/>
    <w:rsid w:val="168E1562"/>
    <w:rsid w:val="17303696"/>
    <w:rsid w:val="187144C9"/>
    <w:rsid w:val="18C33745"/>
    <w:rsid w:val="1910625E"/>
    <w:rsid w:val="191F64A1"/>
    <w:rsid w:val="196B6114"/>
    <w:rsid w:val="19AF3CC9"/>
    <w:rsid w:val="1BC87A4B"/>
    <w:rsid w:val="1BF70EAC"/>
    <w:rsid w:val="1C1C2A5A"/>
    <w:rsid w:val="1C637620"/>
    <w:rsid w:val="1CE617B0"/>
    <w:rsid w:val="1CFE1B57"/>
    <w:rsid w:val="1D885184"/>
    <w:rsid w:val="1EE241F9"/>
    <w:rsid w:val="1F3F785C"/>
    <w:rsid w:val="1F4364A8"/>
    <w:rsid w:val="1F4B08D2"/>
    <w:rsid w:val="1FB73684"/>
    <w:rsid w:val="1FF233D2"/>
    <w:rsid w:val="2032483A"/>
    <w:rsid w:val="20880DD0"/>
    <w:rsid w:val="209459C7"/>
    <w:rsid w:val="21091F11"/>
    <w:rsid w:val="21423675"/>
    <w:rsid w:val="21471195"/>
    <w:rsid w:val="21482253"/>
    <w:rsid w:val="236144A7"/>
    <w:rsid w:val="2372675C"/>
    <w:rsid w:val="23827D58"/>
    <w:rsid w:val="238E494F"/>
    <w:rsid w:val="23D762F6"/>
    <w:rsid w:val="24073A71"/>
    <w:rsid w:val="241E5CD3"/>
    <w:rsid w:val="244B1A2A"/>
    <w:rsid w:val="24E24F53"/>
    <w:rsid w:val="25270544"/>
    <w:rsid w:val="256D3B90"/>
    <w:rsid w:val="25D32AED"/>
    <w:rsid w:val="25E76599"/>
    <w:rsid w:val="26D7660D"/>
    <w:rsid w:val="26E775F7"/>
    <w:rsid w:val="27640C62"/>
    <w:rsid w:val="27C66C6A"/>
    <w:rsid w:val="27D152FD"/>
    <w:rsid w:val="280823A4"/>
    <w:rsid w:val="284A18FF"/>
    <w:rsid w:val="2852346A"/>
    <w:rsid w:val="28FE5E96"/>
    <w:rsid w:val="29015BC3"/>
    <w:rsid w:val="2927387C"/>
    <w:rsid w:val="29581C87"/>
    <w:rsid w:val="29903455"/>
    <w:rsid w:val="2A063491"/>
    <w:rsid w:val="2ABB7B78"/>
    <w:rsid w:val="2AC84FE4"/>
    <w:rsid w:val="2AE515EC"/>
    <w:rsid w:val="2B2A08F3"/>
    <w:rsid w:val="2B9B20E5"/>
    <w:rsid w:val="2BCA04EF"/>
    <w:rsid w:val="2BE617CC"/>
    <w:rsid w:val="2C6D3C9C"/>
    <w:rsid w:val="2E6D7F83"/>
    <w:rsid w:val="2FE762F0"/>
    <w:rsid w:val="30032221"/>
    <w:rsid w:val="30C966BB"/>
    <w:rsid w:val="30CF5042"/>
    <w:rsid w:val="30FD049A"/>
    <w:rsid w:val="311D7138"/>
    <w:rsid w:val="321E3342"/>
    <w:rsid w:val="326276D3"/>
    <w:rsid w:val="32D0096E"/>
    <w:rsid w:val="334749B2"/>
    <w:rsid w:val="336C0A40"/>
    <w:rsid w:val="33BC2E13"/>
    <w:rsid w:val="342F1837"/>
    <w:rsid w:val="34DE562F"/>
    <w:rsid w:val="34F959B0"/>
    <w:rsid w:val="34FA1E45"/>
    <w:rsid w:val="34FF38FF"/>
    <w:rsid w:val="35F72828"/>
    <w:rsid w:val="36B204FD"/>
    <w:rsid w:val="36C66880"/>
    <w:rsid w:val="374750E9"/>
    <w:rsid w:val="37772689"/>
    <w:rsid w:val="37AB5678"/>
    <w:rsid w:val="382244A1"/>
    <w:rsid w:val="3848404E"/>
    <w:rsid w:val="384B4C92"/>
    <w:rsid w:val="395C1320"/>
    <w:rsid w:val="39B96D25"/>
    <w:rsid w:val="39D54F97"/>
    <w:rsid w:val="39D75DD0"/>
    <w:rsid w:val="3A1514CF"/>
    <w:rsid w:val="3A73756D"/>
    <w:rsid w:val="3A901B66"/>
    <w:rsid w:val="3ADA17A9"/>
    <w:rsid w:val="3AFB42C2"/>
    <w:rsid w:val="3B1D68BB"/>
    <w:rsid w:val="3B45276F"/>
    <w:rsid w:val="3BD4087B"/>
    <w:rsid w:val="3D021B87"/>
    <w:rsid w:val="3D192AD3"/>
    <w:rsid w:val="3D395FC3"/>
    <w:rsid w:val="3D65311A"/>
    <w:rsid w:val="3DB50FFF"/>
    <w:rsid w:val="3E1A1FCA"/>
    <w:rsid w:val="3E2A0130"/>
    <w:rsid w:val="3E8130CF"/>
    <w:rsid w:val="3EE2170F"/>
    <w:rsid w:val="3F1C0FAC"/>
    <w:rsid w:val="3F696545"/>
    <w:rsid w:val="409E3FCC"/>
    <w:rsid w:val="411C7367"/>
    <w:rsid w:val="414F52C6"/>
    <w:rsid w:val="41C002C6"/>
    <w:rsid w:val="41DC2355"/>
    <w:rsid w:val="422B325F"/>
    <w:rsid w:val="42FF2D1C"/>
    <w:rsid w:val="43236A0A"/>
    <w:rsid w:val="4439619F"/>
    <w:rsid w:val="445350CD"/>
    <w:rsid w:val="44B6565C"/>
    <w:rsid w:val="44D81E31"/>
    <w:rsid w:val="45124F88"/>
    <w:rsid w:val="45824A96"/>
    <w:rsid w:val="45C85647"/>
    <w:rsid w:val="45DE2C0C"/>
    <w:rsid w:val="462907DC"/>
    <w:rsid w:val="462C572F"/>
    <w:rsid w:val="46B53AD7"/>
    <w:rsid w:val="47565E67"/>
    <w:rsid w:val="48202B29"/>
    <w:rsid w:val="483B06FE"/>
    <w:rsid w:val="48A60CBE"/>
    <w:rsid w:val="49883A6B"/>
    <w:rsid w:val="4A1A246F"/>
    <w:rsid w:val="4A1E088B"/>
    <w:rsid w:val="4A8F7F6C"/>
    <w:rsid w:val="4B123BE5"/>
    <w:rsid w:val="4B736055"/>
    <w:rsid w:val="4BB72772"/>
    <w:rsid w:val="4BBC17AA"/>
    <w:rsid w:val="4BE4522A"/>
    <w:rsid w:val="4BEE6DBD"/>
    <w:rsid w:val="4C997D3D"/>
    <w:rsid w:val="4CE60449"/>
    <w:rsid w:val="4D9B018A"/>
    <w:rsid w:val="4DA42AAD"/>
    <w:rsid w:val="4DCA0BC6"/>
    <w:rsid w:val="4E095506"/>
    <w:rsid w:val="4E2875CB"/>
    <w:rsid w:val="4E4A5793"/>
    <w:rsid w:val="4E644540"/>
    <w:rsid w:val="4ED7041B"/>
    <w:rsid w:val="4F690FF9"/>
    <w:rsid w:val="4F6B3C13"/>
    <w:rsid w:val="4F942747"/>
    <w:rsid w:val="4FAE50B7"/>
    <w:rsid w:val="50853818"/>
    <w:rsid w:val="521A36CE"/>
    <w:rsid w:val="526F5645"/>
    <w:rsid w:val="52B07B8F"/>
    <w:rsid w:val="52D54F18"/>
    <w:rsid w:val="54442C85"/>
    <w:rsid w:val="54762ACB"/>
    <w:rsid w:val="54783CA0"/>
    <w:rsid w:val="54880DC3"/>
    <w:rsid w:val="54CA5910"/>
    <w:rsid w:val="54D70760"/>
    <w:rsid w:val="56D402F0"/>
    <w:rsid w:val="56D77DE0"/>
    <w:rsid w:val="57371645"/>
    <w:rsid w:val="57711FE2"/>
    <w:rsid w:val="57C93BCD"/>
    <w:rsid w:val="58604F48"/>
    <w:rsid w:val="58FC1D8B"/>
    <w:rsid w:val="58FC58DC"/>
    <w:rsid w:val="58FF717A"/>
    <w:rsid w:val="593212FE"/>
    <w:rsid w:val="59C962AE"/>
    <w:rsid w:val="59E938B9"/>
    <w:rsid w:val="5A0C2A26"/>
    <w:rsid w:val="5AE537CC"/>
    <w:rsid w:val="5B3E042E"/>
    <w:rsid w:val="5B5639C9"/>
    <w:rsid w:val="5C116A3E"/>
    <w:rsid w:val="5DE33DF5"/>
    <w:rsid w:val="5E304AF2"/>
    <w:rsid w:val="5EEE0330"/>
    <w:rsid w:val="5F681446"/>
    <w:rsid w:val="5FBD26D1"/>
    <w:rsid w:val="60393E85"/>
    <w:rsid w:val="60A90F2F"/>
    <w:rsid w:val="6283706E"/>
    <w:rsid w:val="62A1143A"/>
    <w:rsid w:val="62FF49E2"/>
    <w:rsid w:val="63C16678"/>
    <w:rsid w:val="63C45248"/>
    <w:rsid w:val="643B0D48"/>
    <w:rsid w:val="64B654D9"/>
    <w:rsid w:val="651007F8"/>
    <w:rsid w:val="655774EE"/>
    <w:rsid w:val="65F87E72"/>
    <w:rsid w:val="660D350D"/>
    <w:rsid w:val="66776363"/>
    <w:rsid w:val="66E14363"/>
    <w:rsid w:val="675D12A8"/>
    <w:rsid w:val="686B7DD0"/>
    <w:rsid w:val="699A428B"/>
    <w:rsid w:val="69C71EF8"/>
    <w:rsid w:val="69F51E45"/>
    <w:rsid w:val="69F60125"/>
    <w:rsid w:val="6A907465"/>
    <w:rsid w:val="6B195DF5"/>
    <w:rsid w:val="6B5140BF"/>
    <w:rsid w:val="6BDB24DB"/>
    <w:rsid w:val="6C4C227F"/>
    <w:rsid w:val="6C5B3EC2"/>
    <w:rsid w:val="6C9C3206"/>
    <w:rsid w:val="6CFC2295"/>
    <w:rsid w:val="6D2D6774"/>
    <w:rsid w:val="6D6B6984"/>
    <w:rsid w:val="6DE138FF"/>
    <w:rsid w:val="6DFD7802"/>
    <w:rsid w:val="6EBA70A0"/>
    <w:rsid w:val="6F0417E9"/>
    <w:rsid w:val="6F494846"/>
    <w:rsid w:val="6FB302B1"/>
    <w:rsid w:val="703431DF"/>
    <w:rsid w:val="70525E1E"/>
    <w:rsid w:val="707C4C63"/>
    <w:rsid w:val="713057AD"/>
    <w:rsid w:val="71B261C5"/>
    <w:rsid w:val="721750DD"/>
    <w:rsid w:val="721C4D9B"/>
    <w:rsid w:val="72392090"/>
    <w:rsid w:val="726F6CC7"/>
    <w:rsid w:val="730F143C"/>
    <w:rsid w:val="731F06ED"/>
    <w:rsid w:val="73946409"/>
    <w:rsid w:val="73F45DD3"/>
    <w:rsid w:val="74CA4688"/>
    <w:rsid w:val="74DB6AD2"/>
    <w:rsid w:val="74E52DB9"/>
    <w:rsid w:val="750F3A04"/>
    <w:rsid w:val="753A6D9B"/>
    <w:rsid w:val="754461E9"/>
    <w:rsid w:val="7643406D"/>
    <w:rsid w:val="76E81EC3"/>
    <w:rsid w:val="770E2F52"/>
    <w:rsid w:val="773055AF"/>
    <w:rsid w:val="774B7022"/>
    <w:rsid w:val="77664B3C"/>
    <w:rsid w:val="77876861"/>
    <w:rsid w:val="77E837A3"/>
    <w:rsid w:val="784451D9"/>
    <w:rsid w:val="78DC04BB"/>
    <w:rsid w:val="796F50DD"/>
    <w:rsid w:val="7A463000"/>
    <w:rsid w:val="7A5C42EA"/>
    <w:rsid w:val="7AEA01D8"/>
    <w:rsid w:val="7B0F54EB"/>
    <w:rsid w:val="7C684EB3"/>
    <w:rsid w:val="7DAA5DED"/>
    <w:rsid w:val="7DDD4446"/>
    <w:rsid w:val="7EEF14A3"/>
    <w:rsid w:val="7F323556"/>
    <w:rsid w:val="7F36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spacing w:line="560" w:lineRule="exact"/>
      <w:ind w:left="0" w:leftChars="0"/>
      <w:outlineLvl w:val="0"/>
    </w:pPr>
    <w:rPr>
      <w:rFonts w:ascii="黑体" w:hAnsi="黑体" w:eastAsia="黑体" w:cstheme="minorBidi"/>
      <w:sz w:val="32"/>
    </w:rPr>
  </w:style>
  <w:style w:type="paragraph" w:styleId="4">
    <w:name w:val="heading 2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outlineLvl w:val="1"/>
    </w:pPr>
    <w:rPr>
      <w:rFonts w:ascii="楷体_GB2312" w:hAnsi="楷体_GB2312" w:eastAsia="楷体_GB2312" w:cstheme="minorBidi"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widowControl w:val="0"/>
      <w:spacing w:beforeLines="0" w:afterLines="0"/>
      <w:jc w:val="both"/>
    </w:pPr>
    <w:rPr>
      <w:rFonts w:hint="eastAsia" w:ascii="华文新魏" w:hAnsi="Times New Roman" w:eastAsia="华文新魏" w:cs="Times New Roman"/>
      <w:kern w:val="0"/>
      <w:sz w:val="36"/>
      <w:szCs w:val="24"/>
      <w:lang w:val="en-US" w:eastAsia="zh-CN" w:bidi="ar-SA"/>
    </w:rPr>
  </w:style>
  <w:style w:type="paragraph" w:styleId="5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仿宋" w:cs="Times New Roman"/>
      <w:kern w:val="2"/>
      <w:sz w:val="32"/>
      <w:szCs w:val="32"/>
      <w:lang w:val="en-US" w:eastAsia="zh-CN" w:bidi="ar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qFormat/>
    <w:uiPriority w:val="99"/>
    <w:pPr>
      <w:widowControl w:val="0"/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table" w:styleId="10">
    <w:name w:val="Table Grid"/>
    <w:qFormat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22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文章标题"/>
    <w:basedOn w:val="1"/>
    <w:qFormat/>
    <w:uiPriority w:val="0"/>
    <w:pPr>
      <w:spacing w:line="560" w:lineRule="exact"/>
      <w:jc w:val="center"/>
    </w:pPr>
    <w:rPr>
      <w:rFonts w:hint="default" w:ascii="方正小标宋简体" w:hAnsi="方正小标宋简体" w:eastAsia="方正小标宋简体" w:cs="方正小标宋简体"/>
      <w:sz w:val="44"/>
      <w:szCs w:val="52"/>
    </w:rPr>
  </w:style>
  <w:style w:type="paragraph" w:customStyle="1" w:styleId="15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目录 11"/>
    <w:next w:val="1"/>
    <w:unhideWhenUsed/>
    <w:qFormat/>
    <w:uiPriority w:val="0"/>
    <w:pPr>
      <w:wordWrap w:val="0"/>
      <w:spacing w:beforeLines="0" w:afterLines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character" w:customStyle="1" w:styleId="17">
    <w:name w:val="font3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8648</Words>
  <Characters>9288</Characters>
  <Lines>1</Lines>
  <Paragraphs>1</Paragraphs>
  <TotalTime>7</TotalTime>
  <ScaleCrop>false</ScaleCrop>
  <LinksUpToDate>false</LinksUpToDate>
  <CharactersWithSpaces>9590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2024-02-25T12:17:00Z</dcterms:created>
  <dc:creator>wuyun</dc:creator>
  <cp:lastModifiedBy>吴蕴之</cp:lastModifiedBy>
  <cp:lastPrinted>2024-09-19T02:29:00Z</cp:lastPrinted>
  <dcterms:modified xsi:type="dcterms:W3CDTF">2024-09-24T09:36:18Z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FF58067732AF4D6B80949CF7AB29453F_13</vt:lpwstr>
  </property>
</Properties>
</file>